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47E" w:rsidRDefault="0018747E" w:rsidP="0026302F">
      <w:pPr>
        <w:tabs>
          <w:tab w:val="left" w:pos="4370"/>
          <w:tab w:val="center" w:pos="4585"/>
        </w:tabs>
        <w:spacing w:before="2" w:after="0" w:line="396" w:lineRule="exact"/>
        <w:ind w:left="125" w:right="-20"/>
        <w:rPr>
          <w:rFonts w:ascii="Arial Black" w:eastAsia="Arial Black" w:hAnsi="Arial Black" w:cs="Arial Black"/>
          <w:color w:val="E77300"/>
          <w:position w:val="-1"/>
          <w:sz w:val="30"/>
          <w:szCs w:val="30"/>
        </w:rPr>
      </w:pPr>
      <w:r>
        <w:rPr>
          <w:noProof/>
          <w:lang w:eastAsia="en-GB"/>
        </w:rPr>
        <w:drawing>
          <wp:anchor distT="0" distB="0" distL="114300" distR="114300" simplePos="0" relativeHeight="251659264" behindDoc="1" locked="0" layoutInCell="1" allowOverlap="1" wp14:anchorId="7D398E73" wp14:editId="241AC2EC">
            <wp:simplePos x="0" y="0"/>
            <wp:positionH relativeFrom="margin">
              <wp:align>center</wp:align>
            </wp:positionH>
            <wp:positionV relativeFrom="page">
              <wp:posOffset>533400</wp:posOffset>
            </wp:positionV>
            <wp:extent cx="6900545" cy="9836785"/>
            <wp:effectExtent l="0" t="0" r="0" b="0"/>
            <wp:wrapNone/>
            <wp:docPr id="1356"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0545" cy="983678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color w:val="E77300"/>
          <w:spacing w:val="-1"/>
          <w:position w:val="-1"/>
          <w:sz w:val="30"/>
          <w:szCs w:val="30"/>
        </w:rPr>
        <w:t>L</w:t>
      </w:r>
      <w:r>
        <w:rPr>
          <w:rFonts w:ascii="Arial Black" w:eastAsia="Arial Black" w:hAnsi="Arial Black" w:cs="Arial Black"/>
          <w:color w:val="E77300"/>
          <w:spacing w:val="1"/>
          <w:position w:val="-1"/>
          <w:sz w:val="30"/>
          <w:szCs w:val="30"/>
        </w:rPr>
        <w:t>i</w:t>
      </w:r>
      <w:r>
        <w:rPr>
          <w:rFonts w:ascii="Arial Black" w:eastAsia="Arial Black" w:hAnsi="Arial Black" w:cs="Arial Black"/>
          <w:color w:val="E77300"/>
          <w:spacing w:val="-1"/>
          <w:position w:val="-1"/>
          <w:sz w:val="30"/>
          <w:szCs w:val="30"/>
        </w:rPr>
        <w:t>ce</w:t>
      </w:r>
      <w:r>
        <w:rPr>
          <w:rFonts w:ascii="Arial Black" w:eastAsia="Arial Black" w:hAnsi="Arial Black" w:cs="Arial Black"/>
          <w:color w:val="E77300"/>
          <w:spacing w:val="2"/>
          <w:position w:val="-1"/>
          <w:sz w:val="30"/>
          <w:szCs w:val="30"/>
        </w:rPr>
        <w:t>n</w:t>
      </w:r>
      <w:r>
        <w:rPr>
          <w:rFonts w:ascii="Arial Black" w:eastAsia="Arial Black" w:hAnsi="Arial Black" w:cs="Arial Black"/>
          <w:color w:val="E77300"/>
          <w:spacing w:val="-1"/>
          <w:position w:val="-1"/>
          <w:sz w:val="30"/>
          <w:szCs w:val="30"/>
        </w:rPr>
        <w:t>s</w:t>
      </w:r>
      <w:r>
        <w:rPr>
          <w:rFonts w:ascii="Arial Black" w:eastAsia="Arial Black" w:hAnsi="Arial Black" w:cs="Arial Black"/>
          <w:color w:val="E77300"/>
          <w:spacing w:val="1"/>
          <w:position w:val="-1"/>
          <w:sz w:val="30"/>
          <w:szCs w:val="30"/>
        </w:rPr>
        <w:t>i</w:t>
      </w:r>
      <w:r>
        <w:rPr>
          <w:rFonts w:ascii="Arial Black" w:eastAsia="Arial Black" w:hAnsi="Arial Black" w:cs="Arial Black"/>
          <w:color w:val="E77300"/>
          <w:spacing w:val="-1"/>
          <w:position w:val="-1"/>
          <w:sz w:val="30"/>
          <w:szCs w:val="30"/>
        </w:rPr>
        <w:t>n</w:t>
      </w:r>
      <w:r>
        <w:rPr>
          <w:rFonts w:ascii="Arial Black" w:eastAsia="Arial Black" w:hAnsi="Arial Black" w:cs="Arial Black"/>
          <w:color w:val="E77300"/>
          <w:position w:val="-1"/>
          <w:sz w:val="30"/>
          <w:szCs w:val="30"/>
        </w:rPr>
        <w:t>g</w:t>
      </w:r>
      <w:r>
        <w:rPr>
          <w:rFonts w:ascii="Arial Black" w:eastAsia="Arial Black" w:hAnsi="Arial Black" w:cs="Arial Black"/>
          <w:color w:val="E77300"/>
          <w:spacing w:val="-13"/>
          <w:position w:val="-1"/>
          <w:sz w:val="30"/>
          <w:szCs w:val="30"/>
        </w:rPr>
        <w:t xml:space="preserve"> </w:t>
      </w:r>
      <w:r>
        <w:rPr>
          <w:rFonts w:ascii="Arial Black" w:eastAsia="Arial Black" w:hAnsi="Arial Black" w:cs="Arial Black"/>
          <w:color w:val="E77300"/>
          <w:spacing w:val="-1"/>
          <w:position w:val="-1"/>
          <w:sz w:val="30"/>
          <w:szCs w:val="30"/>
        </w:rPr>
        <w:t>A</w:t>
      </w:r>
      <w:r>
        <w:rPr>
          <w:rFonts w:ascii="Arial Black" w:eastAsia="Arial Black" w:hAnsi="Arial Black" w:cs="Arial Black"/>
          <w:color w:val="E77300"/>
          <w:spacing w:val="2"/>
          <w:position w:val="-1"/>
          <w:sz w:val="30"/>
          <w:szCs w:val="30"/>
        </w:rPr>
        <w:t>u</w:t>
      </w:r>
      <w:r>
        <w:rPr>
          <w:rFonts w:ascii="Arial Black" w:eastAsia="Arial Black" w:hAnsi="Arial Black" w:cs="Arial Black"/>
          <w:color w:val="E77300"/>
          <w:spacing w:val="-1"/>
          <w:position w:val="-1"/>
          <w:sz w:val="30"/>
          <w:szCs w:val="30"/>
        </w:rPr>
        <w:t>t</w:t>
      </w:r>
      <w:r>
        <w:rPr>
          <w:rFonts w:ascii="Arial Black" w:eastAsia="Arial Black" w:hAnsi="Arial Black" w:cs="Arial Black"/>
          <w:color w:val="E77300"/>
          <w:spacing w:val="2"/>
          <w:position w:val="-1"/>
          <w:sz w:val="30"/>
          <w:szCs w:val="30"/>
        </w:rPr>
        <w:t>h</w:t>
      </w:r>
      <w:r>
        <w:rPr>
          <w:rFonts w:ascii="Arial Black" w:eastAsia="Arial Black" w:hAnsi="Arial Black" w:cs="Arial Black"/>
          <w:color w:val="E77300"/>
          <w:spacing w:val="-1"/>
          <w:position w:val="-1"/>
          <w:sz w:val="30"/>
          <w:szCs w:val="30"/>
        </w:rPr>
        <w:t>or</w:t>
      </w:r>
      <w:r>
        <w:rPr>
          <w:rFonts w:ascii="Arial Black" w:eastAsia="Arial Black" w:hAnsi="Arial Black" w:cs="Arial Black"/>
          <w:color w:val="E77300"/>
          <w:spacing w:val="1"/>
          <w:position w:val="-1"/>
          <w:sz w:val="30"/>
          <w:szCs w:val="30"/>
        </w:rPr>
        <w:t>i</w:t>
      </w:r>
      <w:r>
        <w:rPr>
          <w:rFonts w:ascii="Arial Black" w:eastAsia="Arial Black" w:hAnsi="Arial Black" w:cs="Arial Black"/>
          <w:color w:val="E77300"/>
          <w:spacing w:val="-1"/>
          <w:position w:val="-1"/>
          <w:sz w:val="30"/>
          <w:szCs w:val="30"/>
        </w:rPr>
        <w:t>t</w:t>
      </w:r>
      <w:r>
        <w:rPr>
          <w:rFonts w:ascii="Arial Black" w:eastAsia="Arial Black" w:hAnsi="Arial Black" w:cs="Arial Black"/>
          <w:color w:val="E77300"/>
          <w:position w:val="-1"/>
          <w:sz w:val="30"/>
          <w:szCs w:val="30"/>
        </w:rPr>
        <w:t>y</w:t>
      </w:r>
      <w:r w:rsidR="0026302F">
        <w:rPr>
          <w:rFonts w:ascii="Arial Black" w:eastAsia="Arial Black" w:hAnsi="Arial Black" w:cs="Arial Black"/>
          <w:color w:val="E77300"/>
          <w:position w:val="-1"/>
          <w:sz w:val="30"/>
          <w:szCs w:val="30"/>
        </w:rPr>
        <w:tab/>
      </w:r>
      <w:r w:rsidR="0026302F">
        <w:rPr>
          <w:rFonts w:ascii="Arial Black" w:eastAsia="Arial Black" w:hAnsi="Arial Black" w:cs="Arial Black"/>
          <w:position w:val="-1"/>
          <w:sz w:val="30"/>
          <w:szCs w:val="30"/>
        </w:rPr>
        <w:t>APPENDIX THREE</w:t>
      </w:r>
      <w:bookmarkStart w:id="0" w:name="_GoBack"/>
      <w:bookmarkEnd w:id="0"/>
      <w:r w:rsidR="0026302F">
        <w:rPr>
          <w:rFonts w:ascii="Arial Black" w:eastAsia="Arial Black" w:hAnsi="Arial Black" w:cs="Arial Black"/>
          <w:color w:val="E77300"/>
          <w:position w:val="-1"/>
          <w:sz w:val="30"/>
          <w:szCs w:val="30"/>
        </w:rPr>
        <w:tab/>
      </w: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tabs>
          <w:tab w:val="left" w:pos="3960"/>
        </w:tabs>
        <w:spacing w:after="0" w:line="877" w:lineRule="exact"/>
        <w:ind w:left="113" w:right="-20"/>
        <w:rPr>
          <w:rFonts w:ascii="Arial" w:eastAsia="Arial" w:hAnsi="Arial" w:cs="Arial"/>
          <w:sz w:val="80"/>
          <w:szCs w:val="80"/>
        </w:rPr>
      </w:pPr>
      <w:r>
        <w:rPr>
          <w:rFonts w:ascii="Arial" w:eastAsia="Arial" w:hAnsi="Arial" w:cs="Arial"/>
          <w:color w:val="FFFFFF"/>
          <w:position w:val="-1"/>
          <w:sz w:val="80"/>
          <w:szCs w:val="80"/>
        </w:rPr>
        <w:t>C</w:t>
      </w:r>
      <w:r w:rsidR="00947852">
        <w:rPr>
          <w:rFonts w:ascii="Arial" w:eastAsia="Arial" w:hAnsi="Arial" w:cs="Arial"/>
          <w:color w:val="FFFFFF"/>
          <w:position w:val="-1"/>
          <w:sz w:val="80"/>
          <w:szCs w:val="80"/>
        </w:rPr>
        <w:t>umulative Impact Assessment 2022</w:t>
      </w: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E77300"/>
          <w:position w:val="-1"/>
          <w:sz w:val="30"/>
          <w:szCs w:val="30"/>
        </w:rPr>
      </w:pPr>
    </w:p>
    <w:p w:rsidR="0018747E" w:rsidRDefault="0018747E" w:rsidP="0018747E">
      <w:pPr>
        <w:spacing w:before="2" w:after="0" w:line="396" w:lineRule="exact"/>
        <w:ind w:left="125" w:right="-20"/>
        <w:rPr>
          <w:rFonts w:ascii="Arial Black" w:eastAsia="Arial Black" w:hAnsi="Arial Black" w:cs="Arial Black"/>
          <w:color w:val="FFFFFF" w:themeColor="background1"/>
          <w:sz w:val="48"/>
          <w:szCs w:val="48"/>
        </w:rPr>
      </w:pPr>
    </w:p>
    <w:p w:rsidR="008A7901" w:rsidRDefault="008A7901"/>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2C5453" w:rsidRDefault="00D46F0E" w:rsidP="002C5453">
      <w:pPr>
        <w:pStyle w:val="Default"/>
        <w:numPr>
          <w:ilvl w:val="0"/>
          <w:numId w:val="1"/>
        </w:numPr>
        <w:ind w:left="426" w:hanging="426"/>
        <w:rPr>
          <w:b/>
          <w:bCs/>
          <w:sz w:val="23"/>
          <w:szCs w:val="23"/>
        </w:rPr>
      </w:pPr>
      <w:r>
        <w:rPr>
          <w:b/>
          <w:bCs/>
          <w:sz w:val="23"/>
          <w:szCs w:val="23"/>
        </w:rPr>
        <w:lastRenderedPageBreak/>
        <w:t>Cumulative Impact Assessments</w:t>
      </w:r>
      <w:r w:rsidR="002C5453">
        <w:rPr>
          <w:b/>
          <w:bCs/>
          <w:sz w:val="23"/>
          <w:szCs w:val="23"/>
        </w:rPr>
        <w:t xml:space="preserve"> – Background </w:t>
      </w:r>
    </w:p>
    <w:p w:rsidR="002C5453" w:rsidRDefault="002C5453" w:rsidP="002C5453">
      <w:pPr>
        <w:pStyle w:val="Default"/>
        <w:ind w:left="720"/>
        <w:rPr>
          <w:sz w:val="23"/>
          <w:szCs w:val="23"/>
        </w:rPr>
      </w:pPr>
    </w:p>
    <w:p w:rsidR="002C5453" w:rsidRDefault="00D108A3" w:rsidP="00D108A3">
      <w:pPr>
        <w:pStyle w:val="Default"/>
        <w:numPr>
          <w:ilvl w:val="1"/>
          <w:numId w:val="1"/>
        </w:numPr>
        <w:spacing w:after="83"/>
        <w:rPr>
          <w:sz w:val="23"/>
          <w:szCs w:val="23"/>
        </w:rPr>
      </w:pPr>
      <w:r>
        <w:rPr>
          <w:sz w:val="23"/>
          <w:szCs w:val="23"/>
        </w:rPr>
        <w:t>The concept of cumulative i</w:t>
      </w:r>
      <w:r w:rsidR="002C5453">
        <w:rPr>
          <w:sz w:val="23"/>
          <w:szCs w:val="23"/>
        </w:rPr>
        <w:t xml:space="preserve">mpact has been described within the Secretary of State’s Guidance since the commencement of the 2003 Act. </w:t>
      </w:r>
    </w:p>
    <w:p w:rsidR="00D108A3" w:rsidRDefault="00D108A3" w:rsidP="00D108A3">
      <w:pPr>
        <w:pStyle w:val="Default"/>
        <w:numPr>
          <w:ilvl w:val="1"/>
          <w:numId w:val="1"/>
        </w:numPr>
        <w:spacing w:after="83"/>
        <w:rPr>
          <w:sz w:val="23"/>
          <w:szCs w:val="23"/>
        </w:rPr>
      </w:pPr>
      <w:r>
        <w:rPr>
          <w:sz w:val="23"/>
          <w:szCs w:val="23"/>
        </w:rPr>
        <w:t>The guidance describes cumulative impact as “the potential impact on the promotion of the licensing objectives of a number of licensed premises concentrated in one area”.</w:t>
      </w:r>
    </w:p>
    <w:p w:rsidR="00974D4A" w:rsidRDefault="00974D4A" w:rsidP="00D108A3">
      <w:pPr>
        <w:pStyle w:val="Default"/>
        <w:numPr>
          <w:ilvl w:val="1"/>
          <w:numId w:val="1"/>
        </w:numPr>
        <w:spacing w:after="83"/>
        <w:rPr>
          <w:sz w:val="23"/>
          <w:szCs w:val="23"/>
        </w:rPr>
      </w:pPr>
      <w:r>
        <w:rPr>
          <w:sz w:val="23"/>
          <w:szCs w:val="23"/>
        </w:rPr>
        <w:t>For clarity, the licensing objectives are:</w:t>
      </w:r>
    </w:p>
    <w:p w:rsidR="00974D4A" w:rsidRDefault="00974D4A" w:rsidP="00974D4A">
      <w:pPr>
        <w:pStyle w:val="Default"/>
        <w:numPr>
          <w:ilvl w:val="0"/>
          <w:numId w:val="2"/>
        </w:numPr>
        <w:spacing w:after="83"/>
        <w:rPr>
          <w:sz w:val="23"/>
          <w:szCs w:val="23"/>
        </w:rPr>
      </w:pPr>
      <w:r>
        <w:rPr>
          <w:sz w:val="23"/>
          <w:szCs w:val="23"/>
        </w:rPr>
        <w:t>Prevention of crime and disorder</w:t>
      </w:r>
    </w:p>
    <w:p w:rsidR="00974D4A" w:rsidRDefault="00974D4A" w:rsidP="00974D4A">
      <w:pPr>
        <w:pStyle w:val="Default"/>
        <w:numPr>
          <w:ilvl w:val="0"/>
          <w:numId w:val="2"/>
        </w:numPr>
        <w:spacing w:after="83"/>
        <w:rPr>
          <w:sz w:val="23"/>
          <w:szCs w:val="23"/>
        </w:rPr>
      </w:pPr>
      <w:r>
        <w:rPr>
          <w:sz w:val="23"/>
          <w:szCs w:val="23"/>
        </w:rPr>
        <w:t>Prevention of a public nuisance</w:t>
      </w:r>
    </w:p>
    <w:p w:rsidR="00974D4A" w:rsidRDefault="00974D4A" w:rsidP="00974D4A">
      <w:pPr>
        <w:pStyle w:val="Default"/>
        <w:numPr>
          <w:ilvl w:val="0"/>
          <w:numId w:val="2"/>
        </w:numPr>
        <w:spacing w:after="83"/>
        <w:rPr>
          <w:sz w:val="23"/>
          <w:szCs w:val="23"/>
        </w:rPr>
      </w:pPr>
      <w:r>
        <w:rPr>
          <w:sz w:val="23"/>
          <w:szCs w:val="23"/>
        </w:rPr>
        <w:t>Public safety</w:t>
      </w:r>
    </w:p>
    <w:p w:rsidR="00974D4A" w:rsidRDefault="00974D4A" w:rsidP="00974D4A">
      <w:pPr>
        <w:pStyle w:val="Default"/>
        <w:numPr>
          <w:ilvl w:val="0"/>
          <w:numId w:val="2"/>
        </w:numPr>
        <w:spacing w:after="83"/>
        <w:rPr>
          <w:sz w:val="23"/>
          <w:szCs w:val="23"/>
        </w:rPr>
      </w:pPr>
      <w:r>
        <w:rPr>
          <w:sz w:val="23"/>
          <w:szCs w:val="23"/>
        </w:rPr>
        <w:t>Protection of children from harm</w:t>
      </w:r>
    </w:p>
    <w:p w:rsidR="00974D4A" w:rsidRDefault="002E1FAD" w:rsidP="00D108A3">
      <w:pPr>
        <w:pStyle w:val="Default"/>
        <w:numPr>
          <w:ilvl w:val="1"/>
          <w:numId w:val="1"/>
        </w:numPr>
        <w:spacing w:after="83"/>
        <w:rPr>
          <w:sz w:val="23"/>
          <w:szCs w:val="23"/>
        </w:rPr>
      </w:pPr>
      <w:r>
        <w:rPr>
          <w:sz w:val="23"/>
          <w:szCs w:val="23"/>
        </w:rPr>
        <w:t>The Licensing Authority</w:t>
      </w:r>
      <w:r w:rsidR="00974D4A">
        <w:rPr>
          <w:sz w:val="23"/>
          <w:szCs w:val="23"/>
        </w:rPr>
        <w:t xml:space="preserve"> had previously adopted a Special Saturation Policy within its Statement of Licensing Policy, which covered both Oxford City Centre and East Oxford, </w:t>
      </w:r>
      <w:r w:rsidR="00974D4A">
        <w:rPr>
          <w:rFonts w:eastAsia="Arial"/>
        </w:rPr>
        <w:t>adop</w:t>
      </w:r>
      <w:r w:rsidR="00974D4A">
        <w:rPr>
          <w:rFonts w:eastAsia="Arial"/>
          <w:spacing w:val="1"/>
        </w:rPr>
        <w:t>t</w:t>
      </w:r>
      <w:r w:rsidR="00974D4A">
        <w:rPr>
          <w:rFonts w:eastAsia="Arial"/>
        </w:rPr>
        <w:t>ed</w:t>
      </w:r>
      <w:r w:rsidR="00974D4A">
        <w:rPr>
          <w:rFonts w:eastAsia="Arial"/>
          <w:spacing w:val="-1"/>
        </w:rPr>
        <w:t xml:space="preserve"> </w:t>
      </w:r>
      <w:r w:rsidR="00974D4A">
        <w:rPr>
          <w:rFonts w:eastAsia="Arial"/>
          <w:spacing w:val="1"/>
        </w:rPr>
        <w:t>f</w:t>
      </w:r>
      <w:r w:rsidR="00974D4A">
        <w:rPr>
          <w:rFonts w:eastAsia="Arial"/>
        </w:rPr>
        <w:t>o</w:t>
      </w:r>
      <w:r w:rsidR="00974D4A">
        <w:rPr>
          <w:rFonts w:eastAsia="Arial"/>
          <w:spacing w:val="-1"/>
        </w:rPr>
        <w:t>ll</w:t>
      </w:r>
      <w:r w:rsidR="00974D4A">
        <w:rPr>
          <w:rFonts w:eastAsia="Arial"/>
        </w:rPr>
        <w:t>o</w:t>
      </w:r>
      <w:r w:rsidR="00974D4A">
        <w:rPr>
          <w:rFonts w:eastAsia="Arial"/>
          <w:spacing w:val="-1"/>
        </w:rPr>
        <w:t>wi</w:t>
      </w:r>
      <w:r w:rsidR="00974D4A">
        <w:rPr>
          <w:rFonts w:eastAsia="Arial"/>
        </w:rPr>
        <w:t>ng</w:t>
      </w:r>
      <w:r w:rsidR="00974D4A">
        <w:rPr>
          <w:rFonts w:eastAsia="Arial"/>
          <w:spacing w:val="3"/>
        </w:rPr>
        <w:t xml:space="preserve"> </w:t>
      </w:r>
      <w:r w:rsidR="00974D4A">
        <w:rPr>
          <w:rFonts w:eastAsia="Arial"/>
        </w:rPr>
        <w:t>asse</w:t>
      </w:r>
      <w:r w:rsidR="00974D4A">
        <w:rPr>
          <w:rFonts w:eastAsia="Arial"/>
          <w:spacing w:val="-2"/>
        </w:rPr>
        <w:t>s</w:t>
      </w:r>
      <w:r w:rsidR="00974D4A">
        <w:rPr>
          <w:rFonts w:eastAsia="Arial"/>
        </w:rPr>
        <w:t>s</w:t>
      </w:r>
      <w:r w:rsidR="00974D4A">
        <w:rPr>
          <w:rFonts w:eastAsia="Arial"/>
          <w:spacing w:val="1"/>
        </w:rPr>
        <w:t>m</w:t>
      </w:r>
      <w:r w:rsidR="00974D4A">
        <w:rPr>
          <w:rFonts w:eastAsia="Arial"/>
        </w:rPr>
        <w:t xml:space="preserve">ent </w:t>
      </w:r>
      <w:r w:rsidR="00974D4A">
        <w:rPr>
          <w:rFonts w:eastAsia="Arial"/>
          <w:spacing w:val="-3"/>
        </w:rPr>
        <w:t>o</w:t>
      </w:r>
      <w:r w:rsidR="00974D4A">
        <w:rPr>
          <w:rFonts w:eastAsia="Arial"/>
        </w:rPr>
        <w:t>f</w:t>
      </w:r>
      <w:r w:rsidR="00974D4A">
        <w:rPr>
          <w:rFonts w:eastAsia="Arial"/>
          <w:spacing w:val="2"/>
        </w:rPr>
        <w:t xml:space="preserve"> </w:t>
      </w:r>
      <w:r w:rsidR="00974D4A">
        <w:rPr>
          <w:rFonts w:eastAsia="Arial"/>
          <w:spacing w:val="-1"/>
        </w:rPr>
        <w:t>t</w:t>
      </w:r>
      <w:r w:rsidR="00974D4A">
        <w:rPr>
          <w:rFonts w:eastAsia="Arial"/>
        </w:rPr>
        <w:t>he</w:t>
      </w:r>
      <w:r w:rsidR="00974D4A">
        <w:rPr>
          <w:rFonts w:eastAsia="Arial"/>
          <w:spacing w:val="1"/>
        </w:rPr>
        <w:t xml:space="preserve"> </w:t>
      </w:r>
      <w:r w:rsidR="00974D4A">
        <w:rPr>
          <w:rFonts w:eastAsia="Arial"/>
        </w:rPr>
        <w:t>p</w:t>
      </w:r>
      <w:r w:rsidR="00974D4A">
        <w:rPr>
          <w:rFonts w:eastAsia="Arial"/>
          <w:spacing w:val="-3"/>
        </w:rPr>
        <w:t>a</w:t>
      </w:r>
      <w:r w:rsidR="00974D4A">
        <w:rPr>
          <w:rFonts w:eastAsia="Arial"/>
          <w:spacing w:val="1"/>
        </w:rPr>
        <w:t>rt</w:t>
      </w:r>
      <w:r w:rsidR="00974D4A">
        <w:rPr>
          <w:rFonts w:eastAsia="Arial"/>
          <w:spacing w:val="-1"/>
        </w:rPr>
        <w:t>i</w:t>
      </w:r>
      <w:r w:rsidR="00974D4A">
        <w:rPr>
          <w:rFonts w:eastAsia="Arial"/>
        </w:rPr>
        <w:t>cu</w:t>
      </w:r>
      <w:r w:rsidR="00974D4A">
        <w:rPr>
          <w:rFonts w:eastAsia="Arial"/>
          <w:spacing w:val="-1"/>
        </w:rPr>
        <w:t>l</w:t>
      </w:r>
      <w:r w:rsidR="00974D4A">
        <w:rPr>
          <w:rFonts w:eastAsia="Arial"/>
        </w:rPr>
        <w:t xml:space="preserve">ar </w:t>
      </w:r>
      <w:r w:rsidR="00974D4A">
        <w:rPr>
          <w:rFonts w:eastAsia="Arial"/>
          <w:spacing w:val="-1"/>
        </w:rPr>
        <w:t>i</w:t>
      </w:r>
      <w:r w:rsidR="00974D4A">
        <w:rPr>
          <w:rFonts w:eastAsia="Arial"/>
          <w:spacing w:val="1"/>
        </w:rPr>
        <w:t>m</w:t>
      </w:r>
      <w:r w:rsidR="00974D4A">
        <w:rPr>
          <w:rFonts w:eastAsia="Arial"/>
        </w:rPr>
        <w:t>pact</w:t>
      </w:r>
      <w:r w:rsidR="00974D4A">
        <w:rPr>
          <w:rFonts w:eastAsia="Arial"/>
          <w:spacing w:val="-2"/>
        </w:rPr>
        <w:t xml:space="preserve"> </w:t>
      </w:r>
      <w:r w:rsidR="00974D4A">
        <w:rPr>
          <w:rFonts w:eastAsia="Arial"/>
          <w:spacing w:val="1"/>
        </w:rPr>
        <w:t>fr</w:t>
      </w:r>
      <w:r w:rsidR="00974D4A">
        <w:rPr>
          <w:rFonts w:eastAsia="Arial"/>
          <w:spacing w:val="-3"/>
        </w:rPr>
        <w:t>o</w:t>
      </w:r>
      <w:r w:rsidR="00974D4A">
        <w:rPr>
          <w:rFonts w:eastAsia="Arial"/>
        </w:rPr>
        <w:t>m</w:t>
      </w:r>
      <w:r w:rsidR="00974D4A">
        <w:rPr>
          <w:rFonts w:eastAsia="Arial"/>
          <w:spacing w:val="1"/>
        </w:rPr>
        <w:t xml:space="preserve"> t</w:t>
      </w:r>
      <w:r w:rsidR="00974D4A">
        <w:rPr>
          <w:rFonts w:eastAsia="Arial"/>
        </w:rPr>
        <w:t>he concen</w:t>
      </w:r>
      <w:r w:rsidR="00974D4A">
        <w:rPr>
          <w:rFonts w:eastAsia="Arial"/>
          <w:spacing w:val="1"/>
        </w:rPr>
        <w:t>tr</w:t>
      </w:r>
      <w:r w:rsidR="00974D4A">
        <w:rPr>
          <w:rFonts w:eastAsia="Arial"/>
          <w:spacing w:val="-3"/>
        </w:rPr>
        <w:t>a</w:t>
      </w:r>
      <w:r w:rsidR="00974D4A">
        <w:rPr>
          <w:rFonts w:eastAsia="Arial"/>
          <w:spacing w:val="1"/>
        </w:rPr>
        <w:t>t</w:t>
      </w:r>
      <w:r w:rsidR="00974D4A">
        <w:rPr>
          <w:rFonts w:eastAsia="Arial"/>
          <w:spacing w:val="-1"/>
        </w:rPr>
        <w:t>i</w:t>
      </w:r>
      <w:r w:rsidR="00974D4A">
        <w:rPr>
          <w:rFonts w:eastAsia="Arial"/>
        </w:rPr>
        <w:t>on</w:t>
      </w:r>
      <w:r w:rsidR="00974D4A">
        <w:rPr>
          <w:rFonts w:eastAsia="Arial"/>
          <w:spacing w:val="1"/>
        </w:rPr>
        <w:t xml:space="preserve"> </w:t>
      </w:r>
      <w:r w:rsidR="00974D4A">
        <w:rPr>
          <w:rFonts w:eastAsia="Arial"/>
          <w:spacing w:val="-3"/>
        </w:rPr>
        <w:t>o</w:t>
      </w:r>
      <w:r w:rsidR="00974D4A">
        <w:rPr>
          <w:rFonts w:eastAsia="Arial"/>
        </w:rPr>
        <w:t>f</w:t>
      </w:r>
      <w:r w:rsidR="00974D4A">
        <w:rPr>
          <w:rFonts w:eastAsia="Arial"/>
          <w:spacing w:val="2"/>
        </w:rPr>
        <w:t xml:space="preserve"> </w:t>
      </w:r>
      <w:r w:rsidR="00974D4A">
        <w:rPr>
          <w:rFonts w:eastAsia="Arial"/>
          <w:spacing w:val="-1"/>
        </w:rPr>
        <w:t>li</w:t>
      </w:r>
      <w:r w:rsidR="00974D4A">
        <w:rPr>
          <w:rFonts w:eastAsia="Arial"/>
        </w:rPr>
        <w:t>censed</w:t>
      </w:r>
      <w:r w:rsidR="00974D4A">
        <w:rPr>
          <w:rFonts w:eastAsia="Arial"/>
          <w:spacing w:val="-2"/>
        </w:rPr>
        <w:t xml:space="preserve"> </w:t>
      </w:r>
      <w:r w:rsidR="00974D4A">
        <w:rPr>
          <w:rFonts w:eastAsia="Arial"/>
        </w:rPr>
        <w:t>p</w:t>
      </w:r>
      <w:r w:rsidR="00974D4A">
        <w:rPr>
          <w:rFonts w:eastAsia="Arial"/>
          <w:spacing w:val="1"/>
        </w:rPr>
        <w:t>r</w:t>
      </w:r>
      <w:r w:rsidR="00974D4A">
        <w:rPr>
          <w:rFonts w:eastAsia="Arial"/>
          <w:spacing w:val="-2"/>
        </w:rPr>
        <w:t>e</w:t>
      </w:r>
      <w:r w:rsidR="00974D4A">
        <w:rPr>
          <w:rFonts w:eastAsia="Arial"/>
          <w:spacing w:val="1"/>
        </w:rPr>
        <w:t>m</w:t>
      </w:r>
      <w:r w:rsidR="00974D4A">
        <w:rPr>
          <w:rFonts w:eastAsia="Arial"/>
          <w:spacing w:val="-1"/>
        </w:rPr>
        <w:t>i</w:t>
      </w:r>
      <w:r w:rsidR="00974D4A">
        <w:rPr>
          <w:rFonts w:eastAsia="Arial"/>
        </w:rPr>
        <w:t>ses</w:t>
      </w:r>
      <w:r w:rsidR="00974D4A">
        <w:rPr>
          <w:rFonts w:eastAsia="Arial"/>
          <w:spacing w:val="1"/>
        </w:rPr>
        <w:t xml:space="preserve"> </w:t>
      </w:r>
      <w:r w:rsidR="00974D4A">
        <w:rPr>
          <w:rFonts w:eastAsia="Arial"/>
          <w:spacing w:val="-1"/>
        </w:rPr>
        <w:t>i</w:t>
      </w:r>
      <w:r w:rsidR="00974D4A">
        <w:rPr>
          <w:rFonts w:eastAsia="Arial"/>
        </w:rPr>
        <w:t>n</w:t>
      </w:r>
      <w:r w:rsidR="00974D4A">
        <w:rPr>
          <w:rFonts w:eastAsia="Arial"/>
          <w:spacing w:val="-2"/>
        </w:rPr>
        <w:t xml:space="preserve"> </w:t>
      </w:r>
      <w:r w:rsidR="00974D4A">
        <w:rPr>
          <w:rFonts w:eastAsia="Arial"/>
          <w:spacing w:val="1"/>
        </w:rPr>
        <w:t>t</w:t>
      </w:r>
      <w:r w:rsidR="00974D4A">
        <w:rPr>
          <w:rFonts w:eastAsia="Arial"/>
        </w:rPr>
        <w:t>hose</w:t>
      </w:r>
      <w:r w:rsidR="00974D4A">
        <w:rPr>
          <w:rFonts w:eastAsia="Arial"/>
          <w:spacing w:val="-2"/>
        </w:rPr>
        <w:t xml:space="preserve"> </w:t>
      </w:r>
      <w:r w:rsidR="00974D4A">
        <w:rPr>
          <w:rFonts w:eastAsia="Arial"/>
        </w:rPr>
        <w:t>a</w:t>
      </w:r>
      <w:r w:rsidR="00974D4A">
        <w:rPr>
          <w:rFonts w:eastAsia="Arial"/>
          <w:spacing w:val="1"/>
        </w:rPr>
        <w:t>r</w:t>
      </w:r>
      <w:r w:rsidR="00974D4A">
        <w:rPr>
          <w:rFonts w:eastAsia="Arial"/>
        </w:rPr>
        <w:t>eas.</w:t>
      </w:r>
      <w:r w:rsidR="00974D4A">
        <w:rPr>
          <w:sz w:val="23"/>
          <w:szCs w:val="23"/>
        </w:rPr>
        <w:t xml:space="preserve"> </w:t>
      </w:r>
      <w:r>
        <w:rPr>
          <w:sz w:val="23"/>
          <w:szCs w:val="23"/>
        </w:rPr>
        <w:t xml:space="preserve">Due to the effects of the COVID-19 pandemic, the Authority was unable to conduct a Cumulative Impact Assessment when the Statement of Licensing Policy was due to be reviewed in early 2021. The result was that the Special Saturation Policy was removed, with the understanding that it would be </w:t>
      </w:r>
      <w:r w:rsidR="001834BD">
        <w:rPr>
          <w:sz w:val="23"/>
          <w:szCs w:val="23"/>
        </w:rPr>
        <w:t>re</w:t>
      </w:r>
      <w:r>
        <w:rPr>
          <w:sz w:val="23"/>
          <w:szCs w:val="23"/>
        </w:rPr>
        <w:t xml:space="preserve">assessed later in the year. </w:t>
      </w:r>
    </w:p>
    <w:p w:rsidR="00974D4A" w:rsidRDefault="00974D4A" w:rsidP="00D108A3">
      <w:pPr>
        <w:pStyle w:val="Default"/>
        <w:numPr>
          <w:ilvl w:val="1"/>
          <w:numId w:val="1"/>
        </w:numPr>
        <w:spacing w:after="83"/>
        <w:rPr>
          <w:sz w:val="23"/>
          <w:szCs w:val="23"/>
        </w:rPr>
      </w:pPr>
      <w:r>
        <w:rPr>
          <w:sz w:val="23"/>
          <w:szCs w:val="23"/>
        </w:rPr>
        <w:t>The Policing and Crime Act 2017 amended the Licensing Act 2003 to place ‘Cumulative Impact Assessments’ on a statutory footing by introducing paragraph 5a of the Licensing Act 2003. This amendment came into force on 6</w:t>
      </w:r>
      <w:r w:rsidRPr="00E90263">
        <w:rPr>
          <w:sz w:val="23"/>
          <w:szCs w:val="23"/>
        </w:rPr>
        <w:t xml:space="preserve">th </w:t>
      </w:r>
      <w:r>
        <w:rPr>
          <w:sz w:val="23"/>
          <w:szCs w:val="23"/>
        </w:rPr>
        <w:t>April 2018.</w:t>
      </w:r>
    </w:p>
    <w:p w:rsidR="00974D4A" w:rsidRDefault="00974D4A" w:rsidP="00D108A3">
      <w:pPr>
        <w:pStyle w:val="Default"/>
        <w:numPr>
          <w:ilvl w:val="1"/>
          <w:numId w:val="1"/>
        </w:numPr>
        <w:spacing w:after="83"/>
        <w:rPr>
          <w:sz w:val="23"/>
          <w:szCs w:val="23"/>
        </w:rPr>
      </w:pPr>
      <w:r>
        <w:rPr>
          <w:sz w:val="23"/>
          <w:szCs w:val="23"/>
        </w:rPr>
        <w:t xml:space="preserve">This Cumulative Impact Assessment is therefore being published under these new provisions of the Licensing Act 2003. The policy will be reviewed no later than every three years from </w:t>
      </w:r>
      <w:r w:rsidR="001834BD">
        <w:rPr>
          <w:sz w:val="23"/>
          <w:szCs w:val="23"/>
        </w:rPr>
        <w:t>the date it comes</w:t>
      </w:r>
      <w:r>
        <w:rPr>
          <w:sz w:val="23"/>
          <w:szCs w:val="23"/>
        </w:rPr>
        <w:t xml:space="preserve"> into force.</w:t>
      </w:r>
    </w:p>
    <w:p w:rsidR="00D46F0E" w:rsidRDefault="00D46F0E" w:rsidP="00E90263">
      <w:pPr>
        <w:pStyle w:val="Default"/>
        <w:numPr>
          <w:ilvl w:val="1"/>
          <w:numId w:val="1"/>
        </w:numPr>
        <w:spacing w:after="83"/>
        <w:rPr>
          <w:sz w:val="23"/>
          <w:szCs w:val="23"/>
        </w:rPr>
      </w:pPr>
      <w:r>
        <w:rPr>
          <w:sz w:val="23"/>
          <w:szCs w:val="23"/>
        </w:rPr>
        <w:t xml:space="preserve">Section 182 Guidance states that “A Cumulative Impact Assessment (CIA) may be published by a licensing authority to help it to limit the number or types of licence applications granted in areas where there is evidence to show that the number or density of licensed premises in the area is having a cumulative impact and leading to problems which are undermining the licensing objectives. CIAs relate to applications for new premises licences and club premises certificates and applications to vary existing premises licences and club premises certificates in a specified area”. </w:t>
      </w:r>
    </w:p>
    <w:p w:rsidR="004D2B43" w:rsidRPr="004D2B43" w:rsidRDefault="004D2B43" w:rsidP="004D2B43">
      <w:pPr>
        <w:pStyle w:val="Default"/>
        <w:numPr>
          <w:ilvl w:val="0"/>
          <w:numId w:val="1"/>
        </w:numPr>
        <w:spacing w:after="83"/>
        <w:ind w:left="426" w:hanging="426"/>
        <w:rPr>
          <w:b/>
          <w:sz w:val="23"/>
          <w:szCs w:val="23"/>
        </w:rPr>
      </w:pPr>
      <w:r w:rsidRPr="004D2B43">
        <w:rPr>
          <w:b/>
          <w:sz w:val="23"/>
          <w:szCs w:val="23"/>
        </w:rPr>
        <w:t>Consultation</w:t>
      </w:r>
    </w:p>
    <w:p w:rsidR="004D2B43" w:rsidRDefault="004D2B43" w:rsidP="00E90263">
      <w:pPr>
        <w:pStyle w:val="Default"/>
        <w:numPr>
          <w:ilvl w:val="1"/>
          <w:numId w:val="1"/>
        </w:numPr>
        <w:spacing w:after="83"/>
        <w:rPr>
          <w:sz w:val="23"/>
          <w:szCs w:val="23"/>
        </w:rPr>
      </w:pPr>
      <w:r w:rsidRPr="004D2B43">
        <w:rPr>
          <w:sz w:val="23"/>
          <w:szCs w:val="23"/>
        </w:rPr>
        <w:t>As per section 5a of the Licensing Act 2003, in preparing the Cumulative Impact Assess</w:t>
      </w:r>
      <w:r>
        <w:rPr>
          <w:sz w:val="23"/>
          <w:szCs w:val="23"/>
        </w:rPr>
        <w:t>me</w:t>
      </w:r>
      <w:r w:rsidR="00947852">
        <w:rPr>
          <w:sz w:val="23"/>
          <w:szCs w:val="23"/>
        </w:rPr>
        <w:t xml:space="preserve">nt the Licensing Authority </w:t>
      </w:r>
      <w:r>
        <w:rPr>
          <w:sz w:val="23"/>
          <w:szCs w:val="23"/>
        </w:rPr>
        <w:t>consult</w:t>
      </w:r>
      <w:r w:rsidR="00947852">
        <w:rPr>
          <w:sz w:val="23"/>
          <w:szCs w:val="23"/>
        </w:rPr>
        <w:t>ed</w:t>
      </w:r>
      <w:r w:rsidRPr="004D2B43">
        <w:rPr>
          <w:sz w:val="23"/>
          <w:szCs w:val="23"/>
        </w:rPr>
        <w:t xml:space="preserve"> with the persons mentioned in section 5(3) of the Licensing Act 2003, namely: </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the Chief Officer of Poli</w:t>
      </w:r>
      <w:r w:rsidR="00232B46" w:rsidRPr="00232B46">
        <w:rPr>
          <w:rFonts w:ascii="Arial" w:hAnsi="Arial" w:cs="Arial"/>
          <w:color w:val="000000"/>
          <w:sz w:val="23"/>
          <w:szCs w:val="23"/>
        </w:rPr>
        <w:t>ce</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 xml:space="preserve">the Chief Officer of the Fire and Rescue Service </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 xml:space="preserve">persons/bodies representative of the Local Authority with the function of public health </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 xml:space="preserve">persons/bodies representative of local holders of premises licences </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 xml:space="preserve">persons/bodies representative of local holders of club premises certificates </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 xml:space="preserve">persons/bodies representative of local holders of personal licences </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persons/bodies representative of businesses and res</w:t>
      </w:r>
      <w:r w:rsidR="00232B46">
        <w:rPr>
          <w:rFonts w:ascii="Arial" w:hAnsi="Arial" w:cs="Arial"/>
          <w:color w:val="000000"/>
          <w:sz w:val="23"/>
          <w:szCs w:val="23"/>
        </w:rPr>
        <w:t>idents in the City of Oxford</w:t>
      </w:r>
    </w:p>
    <w:p w:rsidR="004D2B43" w:rsidRPr="00232B46" w:rsidRDefault="004D2B43" w:rsidP="00232B46">
      <w:pPr>
        <w:pStyle w:val="ListParagraph"/>
        <w:numPr>
          <w:ilvl w:val="0"/>
          <w:numId w:val="3"/>
        </w:numPr>
        <w:autoSpaceDE w:val="0"/>
        <w:autoSpaceDN w:val="0"/>
        <w:adjustRightInd w:val="0"/>
        <w:spacing w:after="37" w:line="240" w:lineRule="auto"/>
        <w:rPr>
          <w:rFonts w:ascii="Arial" w:hAnsi="Arial" w:cs="Arial"/>
          <w:color w:val="000000"/>
          <w:sz w:val="23"/>
          <w:szCs w:val="23"/>
        </w:rPr>
      </w:pPr>
      <w:r w:rsidRPr="00232B46">
        <w:rPr>
          <w:rFonts w:ascii="Arial" w:hAnsi="Arial" w:cs="Arial"/>
          <w:color w:val="000000"/>
          <w:sz w:val="23"/>
          <w:szCs w:val="23"/>
        </w:rPr>
        <w:t xml:space="preserve">persons/bodies representative of Child Protection Services  </w:t>
      </w:r>
    </w:p>
    <w:p w:rsidR="004D2B43" w:rsidRPr="00232B46" w:rsidRDefault="004D2B43" w:rsidP="00232B46">
      <w:pPr>
        <w:pStyle w:val="ListParagraph"/>
        <w:numPr>
          <w:ilvl w:val="0"/>
          <w:numId w:val="3"/>
        </w:numPr>
        <w:autoSpaceDE w:val="0"/>
        <w:autoSpaceDN w:val="0"/>
        <w:adjustRightInd w:val="0"/>
        <w:spacing w:after="0" w:line="240" w:lineRule="auto"/>
        <w:rPr>
          <w:rFonts w:ascii="Arial" w:hAnsi="Arial" w:cs="Arial"/>
          <w:color w:val="000000"/>
          <w:sz w:val="23"/>
          <w:szCs w:val="23"/>
        </w:rPr>
      </w:pPr>
      <w:r w:rsidRPr="00232B46">
        <w:rPr>
          <w:rFonts w:ascii="Arial" w:hAnsi="Arial" w:cs="Arial"/>
          <w:color w:val="000000"/>
          <w:sz w:val="23"/>
          <w:szCs w:val="23"/>
        </w:rPr>
        <w:t xml:space="preserve">other organisations as appear to the Licensing Authority to be affected by licensing matters, including local community, cultural, educational and entertainment organisations. </w:t>
      </w:r>
    </w:p>
    <w:p w:rsidR="003E4ED0" w:rsidRPr="00E90263" w:rsidRDefault="00947852" w:rsidP="00E90263">
      <w:pPr>
        <w:pStyle w:val="Default"/>
        <w:numPr>
          <w:ilvl w:val="1"/>
          <w:numId w:val="1"/>
        </w:numPr>
        <w:spacing w:after="83"/>
        <w:rPr>
          <w:sz w:val="23"/>
          <w:szCs w:val="23"/>
        </w:rPr>
      </w:pPr>
      <w:r>
        <w:rPr>
          <w:sz w:val="23"/>
          <w:szCs w:val="23"/>
        </w:rPr>
        <w:t xml:space="preserve">The Licensing Authority </w:t>
      </w:r>
      <w:r w:rsidR="003E4ED0">
        <w:rPr>
          <w:sz w:val="23"/>
          <w:szCs w:val="23"/>
        </w:rPr>
        <w:t>consider</w:t>
      </w:r>
      <w:r>
        <w:rPr>
          <w:sz w:val="23"/>
          <w:szCs w:val="23"/>
        </w:rPr>
        <w:t>ed</w:t>
      </w:r>
      <w:r w:rsidR="003E4ED0" w:rsidRPr="003E4ED0">
        <w:rPr>
          <w:sz w:val="23"/>
          <w:szCs w:val="23"/>
        </w:rPr>
        <w:t xml:space="preserve"> the views of all those consulted prior to determining this policy. </w:t>
      </w:r>
    </w:p>
    <w:p w:rsidR="004D2B43" w:rsidRPr="004D2B43" w:rsidRDefault="004D2B43" w:rsidP="00525B62">
      <w:pPr>
        <w:autoSpaceDE w:val="0"/>
        <w:autoSpaceDN w:val="0"/>
        <w:adjustRightInd w:val="0"/>
        <w:spacing w:after="0" w:line="240" w:lineRule="auto"/>
        <w:ind w:firstLine="426"/>
        <w:rPr>
          <w:rFonts w:ascii="Arial" w:hAnsi="Arial" w:cs="Arial"/>
          <w:color w:val="000000"/>
          <w:sz w:val="23"/>
          <w:szCs w:val="23"/>
        </w:rPr>
      </w:pPr>
    </w:p>
    <w:p w:rsidR="009F4B6E" w:rsidRDefault="00D46F0E" w:rsidP="009F4B6E">
      <w:pPr>
        <w:pStyle w:val="Default"/>
        <w:numPr>
          <w:ilvl w:val="0"/>
          <w:numId w:val="1"/>
        </w:numPr>
        <w:spacing w:after="83"/>
        <w:ind w:left="426" w:hanging="426"/>
        <w:rPr>
          <w:b/>
          <w:sz w:val="23"/>
          <w:szCs w:val="23"/>
        </w:rPr>
      </w:pPr>
      <w:r>
        <w:rPr>
          <w:b/>
          <w:sz w:val="23"/>
          <w:szCs w:val="23"/>
        </w:rPr>
        <w:t>Cumulative Impact Assessment</w:t>
      </w:r>
    </w:p>
    <w:p w:rsidR="008F0041" w:rsidRPr="00E90263" w:rsidRDefault="00947852" w:rsidP="00E90263">
      <w:pPr>
        <w:pStyle w:val="Default"/>
        <w:numPr>
          <w:ilvl w:val="1"/>
          <w:numId w:val="1"/>
        </w:numPr>
        <w:spacing w:after="83"/>
        <w:rPr>
          <w:sz w:val="23"/>
          <w:szCs w:val="23"/>
        </w:rPr>
      </w:pPr>
      <w:r>
        <w:rPr>
          <w:sz w:val="23"/>
          <w:szCs w:val="23"/>
        </w:rPr>
        <w:t xml:space="preserve">The assessment </w:t>
      </w:r>
      <w:r w:rsidR="008F0041" w:rsidRPr="009F4B6E">
        <w:rPr>
          <w:sz w:val="23"/>
          <w:szCs w:val="23"/>
        </w:rPr>
        <w:t>re</w:t>
      </w:r>
      <w:r w:rsidR="00FA0A28" w:rsidRPr="009F4B6E">
        <w:rPr>
          <w:sz w:val="23"/>
          <w:szCs w:val="23"/>
        </w:rPr>
        <w:t>late</w:t>
      </w:r>
      <w:r>
        <w:rPr>
          <w:sz w:val="23"/>
          <w:szCs w:val="23"/>
        </w:rPr>
        <w:t>s</w:t>
      </w:r>
      <w:r w:rsidR="00FA0A28" w:rsidRPr="009F4B6E">
        <w:rPr>
          <w:sz w:val="23"/>
          <w:szCs w:val="23"/>
        </w:rPr>
        <w:t xml:space="preserve"> to all premises within </w:t>
      </w:r>
      <w:r w:rsidR="008F0041" w:rsidRPr="009F4B6E">
        <w:rPr>
          <w:sz w:val="23"/>
          <w:szCs w:val="23"/>
        </w:rPr>
        <w:t>specified area</w:t>
      </w:r>
      <w:r w:rsidR="00FA0A28" w:rsidRPr="009F4B6E">
        <w:rPr>
          <w:sz w:val="23"/>
          <w:szCs w:val="23"/>
        </w:rPr>
        <w:t>s</w:t>
      </w:r>
      <w:r w:rsidR="008F0041" w:rsidRPr="009F4B6E">
        <w:rPr>
          <w:sz w:val="23"/>
          <w:szCs w:val="23"/>
        </w:rPr>
        <w:t xml:space="preserve"> that have a premises licence or a club premises certificate which will be carrying on or proposing to carry on the following licensable activities: </w:t>
      </w:r>
    </w:p>
    <w:p w:rsidR="008F0041" w:rsidRDefault="008F0041" w:rsidP="00E90263">
      <w:pPr>
        <w:pStyle w:val="Default"/>
        <w:numPr>
          <w:ilvl w:val="0"/>
          <w:numId w:val="11"/>
        </w:numPr>
        <w:spacing w:after="120"/>
        <w:ind w:hanging="357"/>
        <w:rPr>
          <w:sz w:val="23"/>
          <w:szCs w:val="23"/>
        </w:rPr>
      </w:pPr>
      <w:r>
        <w:rPr>
          <w:sz w:val="23"/>
          <w:szCs w:val="23"/>
        </w:rPr>
        <w:t xml:space="preserve">The sale or supply of alcohol on or off the premises </w:t>
      </w:r>
    </w:p>
    <w:p w:rsidR="008F0041" w:rsidRDefault="008F0041" w:rsidP="00E90263">
      <w:pPr>
        <w:pStyle w:val="Default"/>
        <w:numPr>
          <w:ilvl w:val="0"/>
          <w:numId w:val="11"/>
        </w:numPr>
        <w:spacing w:after="120"/>
        <w:ind w:hanging="357"/>
        <w:rPr>
          <w:sz w:val="23"/>
          <w:szCs w:val="23"/>
        </w:rPr>
      </w:pPr>
      <w:r>
        <w:rPr>
          <w:sz w:val="23"/>
          <w:szCs w:val="23"/>
        </w:rPr>
        <w:t xml:space="preserve">The provision of late night refreshment on or off the premises </w:t>
      </w:r>
    </w:p>
    <w:p w:rsidR="00FA0A28" w:rsidRDefault="00FA0A28" w:rsidP="00E90263">
      <w:pPr>
        <w:pStyle w:val="Default"/>
        <w:numPr>
          <w:ilvl w:val="1"/>
          <w:numId w:val="1"/>
        </w:numPr>
        <w:spacing w:after="83"/>
        <w:rPr>
          <w:sz w:val="23"/>
          <w:szCs w:val="23"/>
        </w:rPr>
      </w:pPr>
      <w:r>
        <w:rPr>
          <w:sz w:val="23"/>
          <w:szCs w:val="23"/>
        </w:rPr>
        <w:t xml:space="preserve">CIAs do not apply to Temporary Event Notices (TENS); however it is open to the police and environmental health authority (as relevant persons) to refer to evidence published within a CIA when objecting to a TEN. </w:t>
      </w:r>
    </w:p>
    <w:p w:rsidR="00E01ABF" w:rsidRPr="00E90263" w:rsidRDefault="009F4B6E" w:rsidP="00E90263">
      <w:pPr>
        <w:pStyle w:val="Default"/>
        <w:numPr>
          <w:ilvl w:val="1"/>
          <w:numId w:val="1"/>
        </w:numPr>
        <w:spacing w:after="83"/>
        <w:rPr>
          <w:sz w:val="23"/>
          <w:szCs w:val="23"/>
        </w:rPr>
      </w:pPr>
      <w:r>
        <w:rPr>
          <w:sz w:val="23"/>
          <w:szCs w:val="23"/>
        </w:rPr>
        <w:t xml:space="preserve">While the evidence underpinning the publication of this CIA should generally be suitable as the basis for a decision to refuse an application or impose conditions, it does not change the fundamental way that decisions are made under the 2003 Act. Each decision in an area subject to a CIA therefore still needs to be made on a case-by-case basis and with a view to what is appropriate for the promotion of the licensing objectives. Importantly, the publication of this CIA would not remove the Licensing Authority’s discretion to grant applications for new licences or applications to vary existing licences, where the Authority considers this to be appropriate in the light of the individual circumstances of the case. </w:t>
      </w:r>
    </w:p>
    <w:p w:rsidR="00E01ABF" w:rsidRPr="00E90263" w:rsidRDefault="00E01ABF" w:rsidP="00E90263">
      <w:pPr>
        <w:pStyle w:val="Default"/>
        <w:numPr>
          <w:ilvl w:val="1"/>
          <w:numId w:val="1"/>
        </w:numPr>
        <w:spacing w:after="83"/>
        <w:rPr>
          <w:sz w:val="23"/>
          <w:szCs w:val="23"/>
        </w:rPr>
      </w:pPr>
      <w:r>
        <w:rPr>
          <w:sz w:val="23"/>
          <w:szCs w:val="23"/>
        </w:rPr>
        <w:t>It also does not remove the requirement for a relevant representation to be submitted by a responsible authority or a member of the public (defined as ‘any other person’ within the act) against an application for it to be considered by the Licensing Sub-Committee. An application that does not receive relevant representations is deemed granted under the Act.</w:t>
      </w:r>
    </w:p>
    <w:p w:rsidR="00E01ABF" w:rsidRPr="00E90263" w:rsidRDefault="00E01ABF" w:rsidP="00E90263">
      <w:pPr>
        <w:pStyle w:val="Default"/>
        <w:numPr>
          <w:ilvl w:val="1"/>
          <w:numId w:val="1"/>
        </w:numPr>
        <w:spacing w:after="83"/>
        <w:rPr>
          <w:sz w:val="23"/>
          <w:szCs w:val="23"/>
        </w:rPr>
      </w:pPr>
      <w:r>
        <w:rPr>
          <w:sz w:val="23"/>
          <w:szCs w:val="23"/>
        </w:rPr>
        <w:t>The Licensing Authority’s Special Saturation Policy creates a rebuttable presumption that an application within the designated cumulative impact areas for new premises licences or variations that are likely to add to the existing cumulative impact will normally be refused if relevant representations are received. It is for the applicant to demonstrate that their application would not add to the cumulative impact of such licensed premises in the areas</w:t>
      </w:r>
      <w:r w:rsidR="009E7254">
        <w:rPr>
          <w:sz w:val="23"/>
          <w:szCs w:val="23"/>
        </w:rPr>
        <w:t>. Applicants are encouraged to liaise with the Licensing Authority and other Responsible Authorities in advance of submitting an application.</w:t>
      </w:r>
      <w:r w:rsidR="00933AD3">
        <w:rPr>
          <w:sz w:val="23"/>
          <w:szCs w:val="23"/>
        </w:rPr>
        <w:t xml:space="preserve"> </w:t>
      </w:r>
    </w:p>
    <w:p w:rsidR="00E01ABF" w:rsidRPr="00E90263" w:rsidRDefault="00947852" w:rsidP="00E90263">
      <w:pPr>
        <w:pStyle w:val="Default"/>
        <w:numPr>
          <w:ilvl w:val="1"/>
          <w:numId w:val="1"/>
        </w:numPr>
        <w:spacing w:after="83"/>
        <w:rPr>
          <w:sz w:val="23"/>
          <w:szCs w:val="23"/>
        </w:rPr>
      </w:pPr>
      <w:r>
        <w:rPr>
          <w:sz w:val="23"/>
          <w:szCs w:val="23"/>
        </w:rPr>
        <w:t xml:space="preserve">The steps </w:t>
      </w:r>
      <w:r w:rsidR="00E01ABF">
        <w:rPr>
          <w:sz w:val="23"/>
          <w:szCs w:val="23"/>
        </w:rPr>
        <w:t>followed in consideri</w:t>
      </w:r>
      <w:r w:rsidR="009E7254">
        <w:rPr>
          <w:sz w:val="23"/>
          <w:szCs w:val="23"/>
        </w:rPr>
        <w:t xml:space="preserve">ng whether to publish a CIA are </w:t>
      </w:r>
      <w:r w:rsidR="00E90263">
        <w:rPr>
          <w:sz w:val="23"/>
          <w:szCs w:val="23"/>
        </w:rPr>
        <w:t>summarised below:</w:t>
      </w:r>
    </w:p>
    <w:p w:rsidR="00E01ABF" w:rsidRDefault="007A4CD7" w:rsidP="00E90263">
      <w:pPr>
        <w:pStyle w:val="Default"/>
        <w:numPr>
          <w:ilvl w:val="0"/>
          <w:numId w:val="12"/>
        </w:numPr>
        <w:spacing w:after="20"/>
        <w:rPr>
          <w:sz w:val="23"/>
          <w:szCs w:val="23"/>
        </w:rPr>
      </w:pPr>
      <w:r>
        <w:rPr>
          <w:sz w:val="16"/>
          <w:szCs w:val="16"/>
        </w:rPr>
        <w:t>I</w:t>
      </w:r>
      <w:r w:rsidR="00E01ABF">
        <w:rPr>
          <w:sz w:val="23"/>
          <w:szCs w:val="23"/>
        </w:rPr>
        <w:t xml:space="preserve">dentify concern about crime and disorder; public safety; public nuisance or protection of children from harm in a particular location. </w:t>
      </w:r>
    </w:p>
    <w:p w:rsidR="00E01ABF" w:rsidRDefault="00E01ABF" w:rsidP="00E90263">
      <w:pPr>
        <w:pStyle w:val="Default"/>
        <w:numPr>
          <w:ilvl w:val="0"/>
          <w:numId w:val="12"/>
        </w:numPr>
        <w:spacing w:after="20"/>
        <w:rPr>
          <w:sz w:val="23"/>
          <w:szCs w:val="23"/>
        </w:rPr>
      </w:pPr>
      <w:r>
        <w:rPr>
          <w:sz w:val="23"/>
          <w:szCs w:val="23"/>
        </w:rPr>
        <w:t xml:space="preserve">Consider whether there is good evidence that crime and disorder or nuisance are occurring, or whether there are activities which pose a threat to public safety or the protection of children from harm. </w:t>
      </w:r>
    </w:p>
    <w:p w:rsidR="00E01ABF" w:rsidRDefault="009E7254" w:rsidP="00E90263">
      <w:pPr>
        <w:pStyle w:val="Default"/>
        <w:numPr>
          <w:ilvl w:val="0"/>
          <w:numId w:val="12"/>
        </w:numPr>
        <w:spacing w:after="20"/>
        <w:rPr>
          <w:sz w:val="23"/>
          <w:szCs w:val="23"/>
        </w:rPr>
      </w:pPr>
      <w:r>
        <w:rPr>
          <w:sz w:val="16"/>
          <w:szCs w:val="16"/>
        </w:rPr>
        <w:t>I</w:t>
      </w:r>
      <w:r w:rsidR="00E01ABF">
        <w:rPr>
          <w:sz w:val="23"/>
          <w:szCs w:val="23"/>
        </w:rPr>
        <w:t xml:space="preserve">f there is evidence that such problems are occurring, identify whether these problems are being caused by the customers of licensed premises, or that cumulative impact is imminent. </w:t>
      </w:r>
    </w:p>
    <w:p w:rsidR="00E01ABF" w:rsidRDefault="00E01ABF" w:rsidP="00E90263">
      <w:pPr>
        <w:pStyle w:val="Default"/>
        <w:numPr>
          <w:ilvl w:val="0"/>
          <w:numId w:val="12"/>
        </w:numPr>
        <w:spacing w:after="20"/>
        <w:rPr>
          <w:sz w:val="23"/>
          <w:szCs w:val="23"/>
        </w:rPr>
      </w:pPr>
      <w:r>
        <w:rPr>
          <w:sz w:val="23"/>
          <w:szCs w:val="23"/>
        </w:rPr>
        <w:t xml:space="preserve">Identify the boundaries of the area where problems are occurring (this can involve mapping where the problems occur and identifying specific streets or localities where such problems arise). </w:t>
      </w:r>
    </w:p>
    <w:p w:rsidR="00E01ABF" w:rsidRPr="00E90263" w:rsidRDefault="00E01ABF" w:rsidP="00E90263">
      <w:pPr>
        <w:pStyle w:val="Default"/>
        <w:numPr>
          <w:ilvl w:val="0"/>
          <w:numId w:val="12"/>
        </w:numPr>
        <w:rPr>
          <w:sz w:val="23"/>
          <w:szCs w:val="23"/>
        </w:rPr>
      </w:pPr>
      <w:r>
        <w:rPr>
          <w:sz w:val="23"/>
          <w:szCs w:val="23"/>
        </w:rPr>
        <w:t xml:space="preserve">Consult those specified in section 5(3) of the 2003 Act. As with consultations in respect of the licensing policy statement as a whole, it is for each licensing authority to determine the extent of the consultation it should undertake in respect of a CIA (subject to the statutory requirements). </w:t>
      </w:r>
    </w:p>
    <w:p w:rsidR="009D39D8" w:rsidRDefault="009D39D8" w:rsidP="00E90263">
      <w:pPr>
        <w:pStyle w:val="Default"/>
        <w:numPr>
          <w:ilvl w:val="1"/>
          <w:numId w:val="1"/>
        </w:numPr>
        <w:spacing w:before="120" w:after="120"/>
        <w:ind w:left="737"/>
        <w:rPr>
          <w:sz w:val="23"/>
          <w:szCs w:val="23"/>
        </w:rPr>
      </w:pPr>
      <w:r>
        <w:rPr>
          <w:sz w:val="23"/>
          <w:szCs w:val="23"/>
        </w:rPr>
        <w:t>T</w:t>
      </w:r>
      <w:r w:rsidR="002E1FAD">
        <w:rPr>
          <w:sz w:val="23"/>
          <w:szCs w:val="23"/>
        </w:rPr>
        <w:t xml:space="preserve">he Licensing Authority had </w:t>
      </w:r>
      <w:r>
        <w:rPr>
          <w:sz w:val="23"/>
          <w:szCs w:val="23"/>
        </w:rPr>
        <w:t xml:space="preserve">previously </w:t>
      </w:r>
      <w:r w:rsidR="002E1FAD">
        <w:rPr>
          <w:sz w:val="23"/>
          <w:szCs w:val="23"/>
        </w:rPr>
        <w:t>adopted a special policy on cumulative effect</w:t>
      </w:r>
      <w:r>
        <w:rPr>
          <w:sz w:val="23"/>
          <w:szCs w:val="23"/>
        </w:rPr>
        <w:t xml:space="preserve">, known as </w:t>
      </w:r>
      <w:r w:rsidR="00E90263">
        <w:rPr>
          <w:sz w:val="23"/>
          <w:szCs w:val="23"/>
        </w:rPr>
        <w:t xml:space="preserve">its Special Saturation Policy, </w:t>
      </w:r>
      <w:r w:rsidR="002E1FAD">
        <w:rPr>
          <w:sz w:val="23"/>
          <w:szCs w:val="23"/>
        </w:rPr>
        <w:t xml:space="preserve">and </w:t>
      </w:r>
      <w:r>
        <w:rPr>
          <w:sz w:val="23"/>
          <w:szCs w:val="23"/>
        </w:rPr>
        <w:t xml:space="preserve">it is now being </w:t>
      </w:r>
      <w:r w:rsidR="00220BA6">
        <w:rPr>
          <w:sz w:val="23"/>
          <w:szCs w:val="23"/>
        </w:rPr>
        <w:t xml:space="preserve">readopted </w:t>
      </w:r>
      <w:r>
        <w:rPr>
          <w:sz w:val="23"/>
          <w:szCs w:val="23"/>
        </w:rPr>
        <w:t xml:space="preserve">following this </w:t>
      </w:r>
      <w:r w:rsidR="002E1FAD">
        <w:rPr>
          <w:sz w:val="23"/>
          <w:szCs w:val="23"/>
        </w:rPr>
        <w:t xml:space="preserve">Cumulative Impact Assessment. </w:t>
      </w:r>
    </w:p>
    <w:p w:rsidR="00F26012" w:rsidRPr="00F26012" w:rsidRDefault="00F26012" w:rsidP="00F26012">
      <w:pPr>
        <w:pStyle w:val="Default"/>
        <w:numPr>
          <w:ilvl w:val="0"/>
          <w:numId w:val="1"/>
        </w:numPr>
        <w:spacing w:before="120" w:after="120"/>
        <w:rPr>
          <w:b/>
          <w:sz w:val="23"/>
          <w:szCs w:val="23"/>
        </w:rPr>
      </w:pPr>
      <w:r w:rsidRPr="00F26012">
        <w:rPr>
          <w:b/>
          <w:sz w:val="23"/>
          <w:szCs w:val="23"/>
        </w:rPr>
        <w:t>Cumulative Impact Assessment Statement</w:t>
      </w:r>
    </w:p>
    <w:p w:rsidR="00F26012" w:rsidRDefault="00F26012" w:rsidP="00F26012">
      <w:pPr>
        <w:pStyle w:val="Default"/>
        <w:numPr>
          <w:ilvl w:val="1"/>
          <w:numId w:val="1"/>
        </w:numPr>
        <w:spacing w:after="83"/>
        <w:rPr>
          <w:sz w:val="23"/>
          <w:szCs w:val="23"/>
        </w:rPr>
      </w:pPr>
      <w:r>
        <w:rPr>
          <w:sz w:val="23"/>
          <w:szCs w:val="23"/>
        </w:rPr>
        <w:t xml:space="preserve">This assessment is being published because the authority is of the opinion that the number of licensed premises and club premises certificates within the City Centre and </w:t>
      </w:r>
      <w:r w:rsidR="00774A92">
        <w:rPr>
          <w:sz w:val="23"/>
          <w:szCs w:val="23"/>
        </w:rPr>
        <w:t xml:space="preserve">the </w:t>
      </w:r>
      <w:r>
        <w:rPr>
          <w:sz w:val="23"/>
          <w:szCs w:val="23"/>
        </w:rPr>
        <w:t xml:space="preserve">East Oxford area is such that it is likely that granting further licences or variation to licences would be inconsistent with the authority’s duty to promote the licensing objectives. This opinion has been reached after careful consideration of evidence and data, from Thames Valley Police, the Responsible Authorities and other persons, </w:t>
      </w:r>
      <w:r w:rsidR="00774A92">
        <w:rPr>
          <w:sz w:val="23"/>
          <w:szCs w:val="23"/>
        </w:rPr>
        <w:t>which show</w:t>
      </w:r>
      <w:r>
        <w:rPr>
          <w:sz w:val="23"/>
          <w:szCs w:val="23"/>
        </w:rPr>
        <w:t xml:space="preserve"> high levels of public nuisance, anti-social behaviour and crime and disorder within these areas.</w:t>
      </w:r>
      <w:r w:rsidR="00774A92">
        <w:rPr>
          <w:sz w:val="23"/>
          <w:szCs w:val="23"/>
        </w:rPr>
        <w:t xml:space="preserve"> Therefore it is appropriate and necessary to control the cumulative impact in these areas.</w:t>
      </w:r>
    </w:p>
    <w:p w:rsidR="00220BA6" w:rsidRPr="00E90263" w:rsidRDefault="00220BA6" w:rsidP="0058021B">
      <w:pPr>
        <w:pStyle w:val="Default"/>
        <w:spacing w:after="83"/>
        <w:ind w:left="740"/>
        <w:rPr>
          <w:sz w:val="23"/>
          <w:szCs w:val="23"/>
        </w:rPr>
      </w:pPr>
      <w:r>
        <w:rPr>
          <w:sz w:val="23"/>
          <w:szCs w:val="23"/>
        </w:rPr>
        <w:t>The areas covered by the policy are the City Centre</w:t>
      </w:r>
      <w:r w:rsidR="001834BD">
        <w:rPr>
          <w:sz w:val="23"/>
          <w:szCs w:val="23"/>
        </w:rPr>
        <w:t xml:space="preserve">, as shown in </w:t>
      </w:r>
      <w:r w:rsidR="001834BD" w:rsidRPr="00E90263">
        <w:rPr>
          <w:b/>
          <w:sz w:val="23"/>
          <w:szCs w:val="23"/>
        </w:rPr>
        <w:t>Appendix One</w:t>
      </w:r>
      <w:r w:rsidR="001834BD">
        <w:rPr>
          <w:sz w:val="23"/>
          <w:szCs w:val="23"/>
        </w:rPr>
        <w:t>,</w:t>
      </w:r>
      <w:r>
        <w:rPr>
          <w:sz w:val="23"/>
          <w:szCs w:val="23"/>
        </w:rPr>
        <w:t xml:space="preserve"> and East Oxford, predominately </w:t>
      </w:r>
      <w:proofErr w:type="spellStart"/>
      <w:r w:rsidR="001834BD">
        <w:rPr>
          <w:sz w:val="23"/>
          <w:szCs w:val="23"/>
        </w:rPr>
        <w:t>Cowley</w:t>
      </w:r>
      <w:proofErr w:type="spellEnd"/>
      <w:r w:rsidR="001834BD">
        <w:rPr>
          <w:sz w:val="23"/>
          <w:szCs w:val="23"/>
        </w:rPr>
        <w:t xml:space="preserve"> Road, as shown in </w:t>
      </w:r>
      <w:r w:rsidR="001834BD" w:rsidRPr="00E90263">
        <w:rPr>
          <w:b/>
          <w:sz w:val="23"/>
          <w:szCs w:val="23"/>
        </w:rPr>
        <w:t>Appendix Two</w:t>
      </w:r>
      <w:r w:rsidR="001834BD" w:rsidRPr="00E90263">
        <w:rPr>
          <w:sz w:val="23"/>
          <w:szCs w:val="23"/>
        </w:rPr>
        <w:t>.</w:t>
      </w:r>
    </w:p>
    <w:p w:rsidR="007D3768" w:rsidRDefault="0058021B" w:rsidP="0058021B">
      <w:pPr>
        <w:pStyle w:val="Default"/>
        <w:spacing w:after="83"/>
        <w:ind w:left="740"/>
        <w:rPr>
          <w:sz w:val="23"/>
          <w:szCs w:val="23"/>
        </w:rPr>
      </w:pPr>
      <w:r>
        <w:rPr>
          <w:sz w:val="23"/>
          <w:szCs w:val="23"/>
        </w:rPr>
        <w:t>The evidential basis for</w:t>
      </w:r>
      <w:r w:rsidR="00F83E57">
        <w:rPr>
          <w:sz w:val="23"/>
          <w:szCs w:val="23"/>
        </w:rPr>
        <w:t xml:space="preserve"> the decision to publish a Cumulative Impact Assessment </w:t>
      </w:r>
      <w:r w:rsidR="001362BC">
        <w:rPr>
          <w:sz w:val="23"/>
          <w:szCs w:val="23"/>
        </w:rPr>
        <w:t xml:space="preserve">is set out in </w:t>
      </w:r>
      <w:r w:rsidR="001834BD" w:rsidRPr="00E90263">
        <w:rPr>
          <w:b/>
          <w:sz w:val="23"/>
          <w:szCs w:val="23"/>
        </w:rPr>
        <w:t xml:space="preserve">Appendix </w:t>
      </w:r>
      <w:r w:rsidR="00E90263">
        <w:rPr>
          <w:b/>
          <w:sz w:val="23"/>
          <w:szCs w:val="23"/>
        </w:rPr>
        <w:t>Three</w:t>
      </w:r>
      <w:r w:rsidR="001362BC" w:rsidRPr="00E90263">
        <w:rPr>
          <w:sz w:val="23"/>
          <w:szCs w:val="23"/>
        </w:rPr>
        <w:t xml:space="preserve">. </w:t>
      </w:r>
    </w:p>
    <w:p w:rsidR="007D3768" w:rsidRPr="00E90263" w:rsidRDefault="007D3768" w:rsidP="0058021B">
      <w:pPr>
        <w:pStyle w:val="Default"/>
        <w:spacing w:after="83"/>
        <w:ind w:left="740"/>
        <w:rPr>
          <w:sz w:val="23"/>
          <w:szCs w:val="23"/>
        </w:rPr>
      </w:pPr>
      <w:r>
        <w:rPr>
          <w:sz w:val="23"/>
          <w:szCs w:val="23"/>
        </w:rPr>
        <w:t>In areas where there is an excessive accumulation of off and on licensed premises, it is relatively straight forward to provide a direct correlation between those premises and public nuisance, anti-</w:t>
      </w:r>
      <w:r w:rsidRPr="00E90263">
        <w:rPr>
          <w:sz w:val="23"/>
          <w:szCs w:val="23"/>
        </w:rPr>
        <w:t>social behaviour and crime and disorder in the area, through an analysis of the evidence including operating hours of the premises and the peak times for incidents and calls for service.</w:t>
      </w:r>
    </w:p>
    <w:p w:rsidR="00220BA6" w:rsidRPr="007D3768" w:rsidRDefault="004872A1" w:rsidP="00E90263">
      <w:pPr>
        <w:pStyle w:val="Default"/>
        <w:numPr>
          <w:ilvl w:val="0"/>
          <w:numId w:val="1"/>
        </w:numPr>
        <w:spacing w:after="120"/>
        <w:ind w:left="714" w:hanging="357"/>
        <w:rPr>
          <w:b/>
        </w:rPr>
      </w:pPr>
      <w:r w:rsidRPr="007D3768">
        <w:rPr>
          <w:b/>
          <w:sz w:val="23"/>
          <w:szCs w:val="23"/>
        </w:rPr>
        <w:t>Other mechanisms for controlling cumulative impac</w:t>
      </w:r>
      <w:r w:rsidRPr="007D3768">
        <w:rPr>
          <w:b/>
          <w:bCs/>
          <w:sz w:val="23"/>
          <w:szCs w:val="23"/>
        </w:rPr>
        <w:t>t</w:t>
      </w:r>
    </w:p>
    <w:p w:rsidR="004872A1" w:rsidRDefault="004872A1" w:rsidP="00E90263">
      <w:pPr>
        <w:pStyle w:val="Default"/>
        <w:numPr>
          <w:ilvl w:val="1"/>
          <w:numId w:val="1"/>
        </w:numPr>
        <w:spacing w:after="83"/>
        <w:rPr>
          <w:sz w:val="23"/>
          <w:szCs w:val="23"/>
        </w:rPr>
      </w:pPr>
      <w:r>
        <w:rPr>
          <w:sz w:val="23"/>
          <w:szCs w:val="23"/>
        </w:rPr>
        <w:t xml:space="preserve">There are mechanisms and interventions, both within and outside the licensing regime, that are available for mitigating adverse impacts on the licensing objectives and should be considered alongside local licensing policy by the Licensing Authority, Responsible Authorities, other persons, licensed premises and new and existing applicants: For example: </w:t>
      </w:r>
    </w:p>
    <w:p w:rsidR="004872A1" w:rsidRPr="004872A1" w:rsidRDefault="004872A1" w:rsidP="00E90263">
      <w:pPr>
        <w:pStyle w:val="Default"/>
        <w:numPr>
          <w:ilvl w:val="0"/>
          <w:numId w:val="13"/>
        </w:numPr>
      </w:pPr>
      <w:r>
        <w:rPr>
          <w:sz w:val="23"/>
          <w:szCs w:val="23"/>
        </w:rPr>
        <w:t xml:space="preserve">planning controls </w:t>
      </w:r>
    </w:p>
    <w:p w:rsidR="004872A1" w:rsidRDefault="004872A1" w:rsidP="00E90263">
      <w:pPr>
        <w:pStyle w:val="Default"/>
        <w:numPr>
          <w:ilvl w:val="0"/>
          <w:numId w:val="13"/>
        </w:numPr>
        <w:spacing w:after="40"/>
        <w:rPr>
          <w:sz w:val="23"/>
          <w:szCs w:val="23"/>
        </w:rPr>
      </w:pPr>
      <w:r>
        <w:rPr>
          <w:sz w:val="23"/>
          <w:szCs w:val="23"/>
        </w:rPr>
        <w:t xml:space="preserve">positive measures to create a safe and clean environment in partnership with local businesses, transport operators and others </w:t>
      </w:r>
    </w:p>
    <w:p w:rsidR="004872A1" w:rsidRDefault="004872A1" w:rsidP="00E90263">
      <w:pPr>
        <w:pStyle w:val="Default"/>
        <w:numPr>
          <w:ilvl w:val="0"/>
          <w:numId w:val="13"/>
        </w:numPr>
        <w:spacing w:after="40"/>
        <w:rPr>
          <w:sz w:val="23"/>
          <w:szCs w:val="23"/>
        </w:rPr>
      </w:pPr>
      <w:r>
        <w:rPr>
          <w:sz w:val="23"/>
          <w:szCs w:val="23"/>
        </w:rPr>
        <w:t>the provision of CCTV,</w:t>
      </w:r>
    </w:p>
    <w:p w:rsidR="004872A1" w:rsidRDefault="004872A1" w:rsidP="00E90263">
      <w:pPr>
        <w:pStyle w:val="Default"/>
        <w:numPr>
          <w:ilvl w:val="0"/>
          <w:numId w:val="13"/>
        </w:numPr>
        <w:spacing w:after="40"/>
        <w:rPr>
          <w:sz w:val="23"/>
          <w:szCs w:val="23"/>
        </w:rPr>
      </w:pPr>
      <w:r>
        <w:rPr>
          <w:sz w:val="23"/>
          <w:szCs w:val="23"/>
        </w:rPr>
        <w:t>ample taxi ranks and Private Hire Companies licensed within district</w:t>
      </w:r>
    </w:p>
    <w:p w:rsidR="004872A1" w:rsidRDefault="004872A1" w:rsidP="00E90263">
      <w:pPr>
        <w:pStyle w:val="Default"/>
        <w:numPr>
          <w:ilvl w:val="0"/>
          <w:numId w:val="13"/>
        </w:numPr>
        <w:spacing w:after="40"/>
        <w:rPr>
          <w:sz w:val="23"/>
          <w:szCs w:val="23"/>
        </w:rPr>
      </w:pPr>
      <w:proofErr w:type="gramStart"/>
      <w:r>
        <w:rPr>
          <w:sz w:val="23"/>
          <w:szCs w:val="23"/>
        </w:rPr>
        <w:t>powers</w:t>
      </w:r>
      <w:proofErr w:type="gramEnd"/>
      <w:r>
        <w:rPr>
          <w:sz w:val="23"/>
          <w:szCs w:val="23"/>
        </w:rPr>
        <w:t xml:space="preserve"> to designate parts of the city as places where alcohol may not be consumed publicly-Public Space Protection Orders. </w:t>
      </w:r>
    </w:p>
    <w:p w:rsidR="004872A1" w:rsidRDefault="004872A1" w:rsidP="00E90263">
      <w:pPr>
        <w:pStyle w:val="Default"/>
        <w:numPr>
          <w:ilvl w:val="0"/>
          <w:numId w:val="13"/>
        </w:numPr>
        <w:spacing w:after="40"/>
        <w:rPr>
          <w:sz w:val="23"/>
          <w:szCs w:val="23"/>
        </w:rPr>
      </w:pPr>
      <w:r>
        <w:rPr>
          <w:sz w:val="23"/>
          <w:szCs w:val="23"/>
        </w:rPr>
        <w:t xml:space="preserve">confiscation of alcohol from adults and children in designated areas </w:t>
      </w:r>
    </w:p>
    <w:p w:rsidR="004872A1" w:rsidRPr="004872A1" w:rsidRDefault="004872A1" w:rsidP="00E90263">
      <w:pPr>
        <w:pStyle w:val="Default"/>
        <w:numPr>
          <w:ilvl w:val="0"/>
          <w:numId w:val="13"/>
        </w:numPr>
        <w:rPr>
          <w:sz w:val="23"/>
          <w:szCs w:val="23"/>
        </w:rPr>
      </w:pPr>
      <w:r>
        <w:rPr>
          <w:sz w:val="23"/>
          <w:szCs w:val="23"/>
        </w:rPr>
        <w:t xml:space="preserve">police enforcement of the law with regard to disorder and anti-social behaviour, including the issuing of fixed penalty notices </w:t>
      </w:r>
      <w:r w:rsidRPr="004872A1">
        <w:rPr>
          <w:sz w:val="23"/>
          <w:szCs w:val="23"/>
        </w:rPr>
        <w:t xml:space="preserve"> </w:t>
      </w:r>
    </w:p>
    <w:p w:rsidR="004872A1" w:rsidRDefault="004872A1" w:rsidP="00E90263">
      <w:pPr>
        <w:pStyle w:val="Default"/>
        <w:numPr>
          <w:ilvl w:val="0"/>
          <w:numId w:val="13"/>
        </w:numPr>
        <w:spacing w:after="37"/>
        <w:rPr>
          <w:sz w:val="23"/>
          <w:szCs w:val="23"/>
        </w:rPr>
      </w:pPr>
      <w:r>
        <w:rPr>
          <w:sz w:val="23"/>
          <w:szCs w:val="23"/>
        </w:rPr>
        <w:t xml:space="preserve">enforcement action against those selling alcohol to people who are inebriated </w:t>
      </w:r>
    </w:p>
    <w:p w:rsidR="004872A1" w:rsidRDefault="004872A1" w:rsidP="00E90263">
      <w:pPr>
        <w:pStyle w:val="Default"/>
        <w:numPr>
          <w:ilvl w:val="0"/>
          <w:numId w:val="13"/>
        </w:numPr>
        <w:spacing w:after="37"/>
        <w:rPr>
          <w:sz w:val="23"/>
          <w:szCs w:val="23"/>
        </w:rPr>
      </w:pPr>
      <w:r>
        <w:rPr>
          <w:sz w:val="23"/>
          <w:szCs w:val="23"/>
        </w:rPr>
        <w:t xml:space="preserve">police powers to close some premises for up to 24 hours on the grounds of disorder, the likelihood of disorder or excessive noise </w:t>
      </w:r>
    </w:p>
    <w:p w:rsidR="004872A1" w:rsidRDefault="004872A1" w:rsidP="00E90263">
      <w:pPr>
        <w:pStyle w:val="Default"/>
        <w:numPr>
          <w:ilvl w:val="0"/>
          <w:numId w:val="13"/>
        </w:numPr>
        <w:rPr>
          <w:sz w:val="23"/>
          <w:szCs w:val="23"/>
        </w:rPr>
      </w:pPr>
      <w:r>
        <w:rPr>
          <w:sz w:val="23"/>
          <w:szCs w:val="23"/>
        </w:rPr>
        <w:t xml:space="preserve">the power of police, local businesses or residents to seek a review of the licence or certificate </w:t>
      </w:r>
    </w:p>
    <w:p w:rsidR="004872A1" w:rsidRDefault="004872A1" w:rsidP="004872A1">
      <w:pPr>
        <w:pStyle w:val="Default"/>
        <w:ind w:left="720"/>
        <w:rPr>
          <w:sz w:val="23"/>
          <w:szCs w:val="23"/>
        </w:rPr>
      </w:pPr>
    </w:p>
    <w:p w:rsidR="002E1FAD" w:rsidRDefault="002E1FAD" w:rsidP="00F26012">
      <w:pPr>
        <w:pStyle w:val="Default"/>
        <w:rPr>
          <w:sz w:val="23"/>
          <w:szCs w:val="23"/>
        </w:rPr>
      </w:pPr>
    </w:p>
    <w:p w:rsidR="00B438D7" w:rsidRPr="00774A92" w:rsidRDefault="00B438D7" w:rsidP="00774A92">
      <w:pPr>
        <w:rPr>
          <w:rFonts w:ascii="Arial" w:hAnsi="Arial" w:cs="Arial"/>
          <w:b/>
          <w:color w:val="000000"/>
          <w:sz w:val="23"/>
          <w:szCs w:val="23"/>
        </w:rPr>
      </w:pPr>
    </w:p>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B438D7" w:rsidRDefault="00B438D7"/>
    <w:p w:rsidR="007D3768" w:rsidRDefault="007D3768"/>
    <w:p w:rsidR="00E90263" w:rsidRDefault="00E90263">
      <w:pPr>
        <w:rPr>
          <w:rFonts w:ascii="Arial" w:hAnsi="Arial" w:cs="Arial"/>
          <w:b/>
          <w:sz w:val="28"/>
          <w:szCs w:val="28"/>
        </w:rPr>
      </w:pPr>
      <w:r>
        <w:rPr>
          <w:rFonts w:ascii="Arial" w:hAnsi="Arial" w:cs="Arial"/>
          <w:b/>
          <w:sz w:val="28"/>
          <w:szCs w:val="28"/>
        </w:rPr>
        <w:br w:type="page"/>
      </w:r>
    </w:p>
    <w:p w:rsidR="007D3768" w:rsidRPr="007D3768" w:rsidRDefault="007D3768">
      <w:pPr>
        <w:rPr>
          <w:rFonts w:ascii="Arial" w:hAnsi="Arial" w:cs="Arial"/>
          <w:b/>
          <w:sz w:val="28"/>
          <w:szCs w:val="28"/>
        </w:rPr>
      </w:pPr>
      <w:r w:rsidRPr="007D3768">
        <w:rPr>
          <w:rFonts w:ascii="Arial" w:hAnsi="Arial" w:cs="Arial"/>
          <w:b/>
          <w:sz w:val="28"/>
          <w:szCs w:val="28"/>
        </w:rPr>
        <w:t>Appendix One – Cumulative Impact Area – Oxford City Centre</w:t>
      </w:r>
    </w:p>
    <w:p w:rsidR="007D3768" w:rsidRDefault="007D3768">
      <w:r w:rsidRPr="007D3768">
        <w:rPr>
          <w:noProof/>
          <w:lang w:eastAsia="en-GB"/>
        </w:rPr>
        <w:drawing>
          <wp:inline distT="0" distB="0" distL="0" distR="0">
            <wp:extent cx="5645150" cy="4166235"/>
            <wp:effectExtent l="0" t="0" r="0" b="5715"/>
            <wp:docPr id="1" name="Picture 1" descr="\\occ.local\data\Environmental-Development\EH\Environmental Protection\GENERAL LICENSING TEAM\LICENSING ACT 2003 FOLDER\STATEMENT OF LICENSING POLICY\POLICY 2021\Data and Analysis\City centre SSP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local\data\Environmental-Development\EH\Environmental Protection\GENERAL LICENSING TEAM\LICENSING ACT 2003 FOLDER\STATEMENT OF LICENSING POLICY\POLICY 2021\Data and Analysis\City centre SSPBoundar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50" cy="4166235"/>
                    </a:xfrm>
                    <a:prstGeom prst="rect">
                      <a:avLst/>
                    </a:prstGeom>
                    <a:noFill/>
                    <a:ln>
                      <a:noFill/>
                    </a:ln>
                  </pic:spPr>
                </pic:pic>
              </a:graphicData>
            </a:graphic>
          </wp:inline>
        </w:drawing>
      </w:r>
    </w:p>
    <w:p w:rsidR="007D3768" w:rsidRDefault="007D3768"/>
    <w:p w:rsidR="007D3768" w:rsidRDefault="007D3768"/>
    <w:p w:rsidR="007D3768" w:rsidRDefault="007D3768"/>
    <w:p w:rsidR="007D3768" w:rsidRDefault="007D3768"/>
    <w:p w:rsidR="007D3768" w:rsidRDefault="007D3768"/>
    <w:p w:rsidR="007D3768" w:rsidRDefault="007D3768"/>
    <w:p w:rsidR="007D3768" w:rsidRDefault="007D3768"/>
    <w:p w:rsidR="007D3768" w:rsidRDefault="007D3768"/>
    <w:p w:rsidR="007D3768" w:rsidRDefault="007D3768"/>
    <w:p w:rsidR="007D3768" w:rsidRDefault="007D3768"/>
    <w:p w:rsidR="006E1F5B" w:rsidRDefault="006E1F5B"/>
    <w:p w:rsidR="006E1F5B" w:rsidRDefault="006E1F5B"/>
    <w:p w:rsidR="006E1F5B" w:rsidRDefault="006E1F5B"/>
    <w:p w:rsidR="006E1F5B" w:rsidRDefault="006E1F5B"/>
    <w:p w:rsidR="00E90263" w:rsidRDefault="00E90263">
      <w:pPr>
        <w:rPr>
          <w:rFonts w:ascii="Arial" w:hAnsi="Arial" w:cs="Arial"/>
          <w:b/>
          <w:sz w:val="28"/>
          <w:szCs w:val="28"/>
        </w:rPr>
      </w:pPr>
      <w:r>
        <w:rPr>
          <w:rFonts w:ascii="Arial" w:hAnsi="Arial" w:cs="Arial"/>
          <w:b/>
          <w:sz w:val="28"/>
          <w:szCs w:val="28"/>
        </w:rPr>
        <w:br w:type="page"/>
      </w:r>
    </w:p>
    <w:p w:rsidR="007D3768" w:rsidRPr="007D3768" w:rsidRDefault="007D3768">
      <w:pPr>
        <w:rPr>
          <w:rFonts w:ascii="Arial" w:hAnsi="Arial" w:cs="Arial"/>
          <w:b/>
          <w:sz w:val="28"/>
          <w:szCs w:val="28"/>
        </w:rPr>
      </w:pPr>
      <w:r w:rsidRPr="007D3768">
        <w:rPr>
          <w:rFonts w:ascii="Arial" w:hAnsi="Arial" w:cs="Arial"/>
          <w:b/>
          <w:sz w:val="28"/>
          <w:szCs w:val="28"/>
        </w:rPr>
        <w:t>Appendix Two – Cumulative Impact Area – East Oxford</w:t>
      </w:r>
    </w:p>
    <w:p w:rsidR="007D3768" w:rsidRDefault="007D3768">
      <w:r w:rsidRPr="007D3768">
        <w:rPr>
          <w:noProof/>
          <w:lang w:eastAsia="en-GB"/>
        </w:rPr>
        <w:drawing>
          <wp:inline distT="0" distB="0" distL="0" distR="0">
            <wp:extent cx="5375275" cy="4031615"/>
            <wp:effectExtent l="0" t="0" r="0" b="6985"/>
            <wp:docPr id="2" name="Picture 2" descr="\\occ.local\data\Environmental-Development\EH\Environmental Protection\GENERAL LICENSING TEAM\LICENSING ACT 2003 FOLDER\STATEMENT OF LICENSING POLICY\POLICY 2021\Data and Analysis\East Ox SSP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c.local\data\Environmental-Development\EH\Environmental Protection\GENERAL LICENSING TEAM\LICENSING ACT 2003 FOLDER\STATEMENT OF LICENSING POLICY\POLICY 2021\Data and Analysis\East Ox SSPBounda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275" cy="4031615"/>
                    </a:xfrm>
                    <a:prstGeom prst="rect">
                      <a:avLst/>
                    </a:prstGeom>
                    <a:noFill/>
                    <a:ln>
                      <a:noFill/>
                    </a:ln>
                  </pic:spPr>
                </pic:pic>
              </a:graphicData>
            </a:graphic>
          </wp:inline>
        </w:drawing>
      </w:r>
    </w:p>
    <w:p w:rsidR="00DA6382" w:rsidRDefault="00DA6382"/>
    <w:p w:rsidR="00DA6382" w:rsidRDefault="00DA6382"/>
    <w:p w:rsidR="00DA6382" w:rsidRDefault="00DA6382"/>
    <w:p w:rsidR="00DA6382" w:rsidRDefault="00DA6382"/>
    <w:p w:rsidR="00DA6382" w:rsidRDefault="00DA6382"/>
    <w:p w:rsidR="00DA6382" w:rsidRDefault="00DA6382"/>
    <w:p w:rsidR="00DA6382" w:rsidRDefault="00DA6382"/>
    <w:p w:rsidR="00DA6382" w:rsidRDefault="00DA6382"/>
    <w:p w:rsidR="00DA6382" w:rsidRDefault="00DA6382"/>
    <w:p w:rsidR="00DA6382" w:rsidRDefault="00DA6382"/>
    <w:p w:rsidR="006E1F5B" w:rsidRDefault="006E1F5B"/>
    <w:p w:rsidR="006E1F5B" w:rsidRDefault="006E1F5B"/>
    <w:p w:rsidR="006E1F5B" w:rsidRDefault="006E1F5B"/>
    <w:p w:rsidR="00E90263" w:rsidRDefault="00E90263">
      <w:pPr>
        <w:rPr>
          <w:rFonts w:ascii="Arial" w:hAnsi="Arial" w:cs="Arial"/>
          <w:b/>
          <w:sz w:val="28"/>
          <w:szCs w:val="28"/>
        </w:rPr>
      </w:pPr>
      <w:r>
        <w:rPr>
          <w:rFonts w:ascii="Arial" w:hAnsi="Arial" w:cs="Arial"/>
          <w:b/>
          <w:sz w:val="28"/>
          <w:szCs w:val="28"/>
        </w:rPr>
        <w:br w:type="page"/>
      </w:r>
    </w:p>
    <w:p w:rsidR="00DA6382" w:rsidRDefault="00DA6382">
      <w:pPr>
        <w:rPr>
          <w:rFonts w:ascii="Arial" w:hAnsi="Arial" w:cs="Arial"/>
          <w:b/>
          <w:sz w:val="28"/>
          <w:szCs w:val="28"/>
        </w:rPr>
      </w:pPr>
      <w:r w:rsidRPr="00DA6382">
        <w:rPr>
          <w:rFonts w:ascii="Arial" w:hAnsi="Arial" w:cs="Arial"/>
          <w:b/>
          <w:sz w:val="28"/>
          <w:szCs w:val="28"/>
        </w:rPr>
        <w:t>Appendix Three – Cumulative Impact Evidence</w:t>
      </w:r>
    </w:p>
    <w:p w:rsidR="00B3153F" w:rsidRPr="00363F08" w:rsidRDefault="00B3153F" w:rsidP="00B3153F">
      <w:pPr>
        <w:rPr>
          <w:rFonts w:ascii="Arial" w:eastAsia="Arial" w:hAnsi="Arial" w:cs="Arial"/>
        </w:rPr>
      </w:pPr>
      <w:r w:rsidRPr="00363F08">
        <w:rPr>
          <w:rFonts w:ascii="Arial" w:eastAsia="Arial" w:hAnsi="Arial" w:cs="Arial"/>
        </w:rPr>
        <w:t>Contents</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Police ASB incidents 2020 – LSOA level</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Police Criminal damage crimes 2020 – LSOA level</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Police Public Order crimes 2020 – LSOA level</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Police Violent crime and sexual offences 2020 – LSOA level</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Seasonal trends of top-4 LSOAs</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CCTV incidents</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Police data analysis methodology</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Temporal analysis</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Seasonal analysis</w:t>
      </w:r>
    </w:p>
    <w:p w:rsidR="00B3153F" w:rsidRPr="00363F08"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Geographic distribution: all NTE occurrences</w:t>
      </w:r>
    </w:p>
    <w:p w:rsidR="00B3153F" w:rsidRDefault="00B3153F" w:rsidP="00B3153F">
      <w:pPr>
        <w:pStyle w:val="ListParagraph"/>
        <w:widowControl w:val="0"/>
        <w:numPr>
          <w:ilvl w:val="0"/>
          <w:numId w:val="9"/>
        </w:numPr>
        <w:spacing w:after="200" w:line="276" w:lineRule="auto"/>
        <w:ind w:left="851" w:firstLine="0"/>
        <w:rPr>
          <w:rFonts w:ascii="Arial" w:eastAsia="Arial" w:hAnsi="Arial" w:cs="Arial"/>
        </w:rPr>
      </w:pPr>
      <w:r w:rsidRPr="00363F08">
        <w:rPr>
          <w:rFonts w:ascii="Arial" w:eastAsia="Arial" w:hAnsi="Arial" w:cs="Arial"/>
        </w:rPr>
        <w:t>Geographical distribution: serious violence occurrences</w:t>
      </w:r>
    </w:p>
    <w:p w:rsidR="00AD40C4" w:rsidRPr="00363F08" w:rsidRDefault="00AD40C4" w:rsidP="00B3153F">
      <w:pPr>
        <w:pStyle w:val="ListParagraph"/>
        <w:widowControl w:val="0"/>
        <w:numPr>
          <w:ilvl w:val="0"/>
          <w:numId w:val="9"/>
        </w:numPr>
        <w:spacing w:after="200" w:line="276" w:lineRule="auto"/>
        <w:ind w:left="851" w:firstLine="0"/>
        <w:rPr>
          <w:rFonts w:ascii="Arial" w:eastAsia="Arial" w:hAnsi="Arial" w:cs="Arial"/>
        </w:rPr>
      </w:pPr>
      <w:r>
        <w:rPr>
          <w:rFonts w:ascii="Arial" w:eastAsia="Arial" w:hAnsi="Arial" w:cs="Arial"/>
        </w:rPr>
        <w:t>Public Health data – alcohol related admissions and mortality rates</w:t>
      </w:r>
    </w:p>
    <w:p w:rsidR="00B3153F" w:rsidRPr="00245AED" w:rsidRDefault="00B3153F" w:rsidP="00B3153F">
      <w:pPr>
        <w:rPr>
          <w:rFonts w:ascii="Arial" w:eastAsia="Arial" w:hAnsi="Arial" w:cs="Arial"/>
        </w:rPr>
      </w:pPr>
      <w:r w:rsidRPr="00245AED">
        <w:rPr>
          <w:rFonts w:ascii="Arial" w:eastAsia="Arial" w:hAnsi="Arial" w:cs="Arial"/>
        </w:rPr>
        <w:t>Glossary</w:t>
      </w:r>
    </w:p>
    <w:p w:rsidR="00B3153F" w:rsidRPr="00245AED" w:rsidRDefault="00B3153F" w:rsidP="00B3153F">
      <w:pPr>
        <w:ind w:firstLine="720"/>
        <w:rPr>
          <w:rFonts w:ascii="Arial" w:eastAsia="Arial" w:hAnsi="Arial" w:cs="Arial"/>
        </w:rPr>
      </w:pPr>
      <w:r w:rsidRPr="00245AED">
        <w:rPr>
          <w:rFonts w:ascii="Arial" w:eastAsia="Arial" w:hAnsi="Arial" w:cs="Arial"/>
        </w:rPr>
        <w:t>LSOA – Lower Super Output Area</w:t>
      </w:r>
    </w:p>
    <w:p w:rsidR="00B3153F" w:rsidRDefault="00B3153F" w:rsidP="00B3153F">
      <w:pPr>
        <w:ind w:firstLine="720"/>
        <w:rPr>
          <w:rFonts w:ascii="Arial" w:eastAsia="Arial" w:hAnsi="Arial" w:cs="Arial"/>
        </w:rPr>
      </w:pPr>
      <w:r w:rsidRPr="00245AED">
        <w:rPr>
          <w:rFonts w:ascii="Arial" w:eastAsia="Arial" w:hAnsi="Arial" w:cs="Arial"/>
        </w:rPr>
        <w:t>ASB – Anti-social Behaviour</w:t>
      </w:r>
    </w:p>
    <w:p w:rsidR="00B3153F" w:rsidRDefault="00B3153F" w:rsidP="00B3153F">
      <w:pPr>
        <w:ind w:firstLine="720"/>
        <w:rPr>
          <w:rFonts w:ascii="Arial" w:eastAsia="Arial" w:hAnsi="Arial" w:cs="Arial"/>
        </w:rPr>
      </w:pPr>
    </w:p>
    <w:p w:rsidR="00B3153F" w:rsidRPr="00245AED" w:rsidRDefault="00B3153F" w:rsidP="00B3153F">
      <w:pPr>
        <w:ind w:firstLine="720"/>
        <w:rPr>
          <w:rFonts w:ascii="Arial" w:eastAsia="Arial" w:hAnsi="Arial" w:cs="Arial"/>
        </w:rPr>
      </w:pPr>
    </w:p>
    <w:p w:rsidR="00B3153F" w:rsidRPr="00D351A9" w:rsidRDefault="00B3153F" w:rsidP="00B3153F">
      <w:pPr>
        <w:pStyle w:val="ListParagraph"/>
        <w:widowControl w:val="0"/>
        <w:numPr>
          <w:ilvl w:val="0"/>
          <w:numId w:val="10"/>
        </w:numPr>
        <w:spacing w:after="200" w:line="276" w:lineRule="auto"/>
        <w:rPr>
          <w:rFonts w:ascii="Arial" w:eastAsia="Arial" w:hAnsi="Arial" w:cs="Arial"/>
          <w:b/>
        </w:rPr>
      </w:pPr>
      <w:r w:rsidRPr="00D351A9">
        <w:rPr>
          <w:rFonts w:ascii="Arial" w:eastAsia="Arial" w:hAnsi="Arial" w:cs="Arial"/>
          <w:b/>
        </w:rPr>
        <w:t>Police ASB incidents 2020 – LSOA level</w:t>
      </w:r>
    </w:p>
    <w:p w:rsidR="00B3153F" w:rsidRDefault="00B3153F" w:rsidP="00B3153F">
      <w:pPr>
        <w:jc w:val="center"/>
        <w:rPr>
          <w:rFonts w:ascii="Arial" w:eastAsia="Arial" w:hAnsi="Arial" w:cs="Arial"/>
          <w:sz w:val="28"/>
          <w:szCs w:val="28"/>
        </w:rPr>
      </w:pPr>
      <w:r w:rsidRPr="00E76E4B">
        <w:rPr>
          <w:rFonts w:ascii="Arial" w:eastAsia="Arial" w:hAnsi="Arial" w:cs="Arial"/>
          <w:noProof/>
          <w:sz w:val="28"/>
          <w:szCs w:val="28"/>
          <w:lang w:eastAsia="en-GB"/>
        </w:rPr>
        <w:drawing>
          <wp:inline distT="0" distB="0" distL="0" distR="0" wp14:anchorId="7724569F" wp14:editId="481C0C45">
            <wp:extent cx="5723299" cy="2702281"/>
            <wp:effectExtent l="0" t="0" r="0" b="3175"/>
            <wp:docPr id="1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309" cy="2704174"/>
                    </a:xfrm>
                    <a:prstGeom prst="rect">
                      <a:avLst/>
                    </a:prstGeom>
                  </pic:spPr>
                </pic:pic>
              </a:graphicData>
            </a:graphic>
          </wp:inline>
        </w:drawing>
      </w:r>
    </w:p>
    <w:p w:rsidR="00B3153F" w:rsidRDefault="00B3153F" w:rsidP="00B3153F">
      <w:pPr>
        <w:jc w:val="center"/>
        <w:rPr>
          <w:rFonts w:ascii="Arial" w:eastAsia="Arial" w:hAnsi="Arial" w:cs="Arial"/>
          <w:sz w:val="28"/>
          <w:szCs w:val="28"/>
        </w:rPr>
      </w:pPr>
    </w:p>
    <w:p w:rsidR="00B3153F" w:rsidRDefault="00B3153F" w:rsidP="00B3153F">
      <w:pPr>
        <w:jc w:val="center"/>
        <w:rPr>
          <w:rFonts w:ascii="Arial" w:eastAsia="Arial" w:hAnsi="Arial" w:cs="Arial"/>
          <w:sz w:val="28"/>
          <w:szCs w:val="28"/>
        </w:rPr>
      </w:pPr>
    </w:p>
    <w:p w:rsidR="00B3153F" w:rsidRDefault="00B3153F" w:rsidP="00B3153F">
      <w:pPr>
        <w:jc w:val="center"/>
        <w:rPr>
          <w:rFonts w:ascii="Arial" w:eastAsia="Arial" w:hAnsi="Arial" w:cs="Arial"/>
          <w:sz w:val="28"/>
          <w:szCs w:val="28"/>
        </w:rPr>
      </w:pPr>
    </w:p>
    <w:p w:rsidR="00B3153F" w:rsidRDefault="00B3153F" w:rsidP="00B3153F">
      <w:pPr>
        <w:jc w:val="center"/>
        <w:rPr>
          <w:rFonts w:ascii="Arial" w:eastAsia="Arial" w:hAnsi="Arial" w:cs="Arial"/>
          <w:sz w:val="28"/>
          <w:szCs w:val="28"/>
        </w:rPr>
      </w:pPr>
    </w:p>
    <w:p w:rsidR="00B3153F" w:rsidRPr="00D351A9" w:rsidRDefault="00B3153F" w:rsidP="00B3153F">
      <w:pPr>
        <w:pStyle w:val="ListParagraph"/>
        <w:widowControl w:val="0"/>
        <w:numPr>
          <w:ilvl w:val="0"/>
          <w:numId w:val="10"/>
        </w:numPr>
        <w:spacing w:after="200" w:line="276" w:lineRule="auto"/>
        <w:jc w:val="both"/>
        <w:rPr>
          <w:rFonts w:ascii="Arial" w:eastAsia="Arial" w:hAnsi="Arial" w:cs="Arial"/>
          <w:b/>
          <w:szCs w:val="28"/>
        </w:rPr>
      </w:pPr>
      <w:r w:rsidRPr="00D351A9">
        <w:rPr>
          <w:rFonts w:ascii="Arial" w:eastAsia="Arial" w:hAnsi="Arial" w:cs="Arial"/>
          <w:b/>
          <w:szCs w:val="28"/>
        </w:rPr>
        <w:t>Police criminal damage and arson crimes 2020 – LSOA level</w:t>
      </w:r>
    </w:p>
    <w:p w:rsidR="00B3153F" w:rsidRDefault="00B3153F" w:rsidP="00B3153F">
      <w:pPr>
        <w:jc w:val="center"/>
        <w:rPr>
          <w:rFonts w:ascii="Arial" w:eastAsia="Arial" w:hAnsi="Arial" w:cs="Arial"/>
          <w:sz w:val="28"/>
          <w:szCs w:val="28"/>
        </w:rPr>
      </w:pPr>
      <w:r w:rsidRPr="00E76E4B">
        <w:rPr>
          <w:rFonts w:ascii="Arial" w:eastAsia="Arial" w:hAnsi="Arial" w:cs="Arial"/>
          <w:noProof/>
          <w:sz w:val="28"/>
          <w:szCs w:val="28"/>
          <w:lang w:eastAsia="en-GB"/>
        </w:rPr>
        <w:drawing>
          <wp:inline distT="0" distB="0" distL="0" distR="0" wp14:anchorId="770F8C4E" wp14:editId="2A8672FD">
            <wp:extent cx="5962650" cy="2780146"/>
            <wp:effectExtent l="0" t="0" r="0" b="1270"/>
            <wp:docPr id="1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650" cy="2780146"/>
                    </a:xfrm>
                    <a:prstGeom prst="rect">
                      <a:avLst/>
                    </a:prstGeom>
                  </pic:spPr>
                </pic:pic>
              </a:graphicData>
            </a:graphic>
          </wp:inline>
        </w:drawing>
      </w:r>
    </w:p>
    <w:p w:rsidR="00B3153F" w:rsidRPr="00D351A9" w:rsidRDefault="00B3153F" w:rsidP="00B3153F">
      <w:pPr>
        <w:pStyle w:val="ListParagraph"/>
        <w:widowControl w:val="0"/>
        <w:numPr>
          <w:ilvl w:val="0"/>
          <w:numId w:val="10"/>
        </w:numPr>
        <w:spacing w:after="200" w:line="276" w:lineRule="auto"/>
        <w:rPr>
          <w:rFonts w:ascii="Arial" w:eastAsia="Arial" w:hAnsi="Arial" w:cs="Arial"/>
          <w:b/>
        </w:rPr>
      </w:pPr>
      <w:r w:rsidRPr="00D351A9">
        <w:rPr>
          <w:rFonts w:ascii="Arial" w:eastAsia="Arial" w:hAnsi="Arial" w:cs="Arial"/>
          <w:b/>
        </w:rPr>
        <w:t>Police Public Order crimes 2020 – LSOA level</w:t>
      </w:r>
    </w:p>
    <w:p w:rsidR="00B3153F" w:rsidRDefault="00B3153F" w:rsidP="00B3153F">
      <w:pPr>
        <w:jc w:val="center"/>
        <w:rPr>
          <w:rFonts w:ascii="Arial" w:eastAsia="Arial" w:hAnsi="Arial" w:cs="Arial"/>
          <w:sz w:val="28"/>
          <w:szCs w:val="28"/>
        </w:rPr>
      </w:pPr>
      <w:r w:rsidRPr="00E76E4B">
        <w:rPr>
          <w:rFonts w:ascii="Arial" w:eastAsia="Arial" w:hAnsi="Arial" w:cs="Arial"/>
          <w:noProof/>
          <w:sz w:val="28"/>
          <w:szCs w:val="28"/>
          <w:lang w:eastAsia="en-GB"/>
        </w:rPr>
        <w:drawing>
          <wp:inline distT="0" distB="0" distL="0" distR="0" wp14:anchorId="02F6280F" wp14:editId="386B7A40">
            <wp:extent cx="5829300" cy="2713824"/>
            <wp:effectExtent l="0" t="0" r="0" b="0"/>
            <wp:docPr id="1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2713824"/>
                    </a:xfrm>
                    <a:prstGeom prst="rect">
                      <a:avLst/>
                    </a:prstGeom>
                  </pic:spPr>
                </pic:pic>
              </a:graphicData>
            </a:graphic>
          </wp:inline>
        </w:drawing>
      </w:r>
    </w:p>
    <w:p w:rsidR="00E90263" w:rsidRDefault="00E90263">
      <w:pPr>
        <w:rPr>
          <w:rFonts w:ascii="Arial" w:eastAsia="Arial" w:hAnsi="Arial" w:cs="Arial"/>
          <w:b/>
        </w:rPr>
      </w:pPr>
      <w:r>
        <w:rPr>
          <w:rFonts w:ascii="Arial" w:eastAsia="Arial" w:hAnsi="Arial" w:cs="Arial"/>
          <w:b/>
        </w:rPr>
        <w:br w:type="page"/>
      </w:r>
    </w:p>
    <w:p w:rsidR="00B3153F" w:rsidRPr="00D351A9" w:rsidRDefault="00B3153F" w:rsidP="00B3153F">
      <w:pPr>
        <w:pStyle w:val="ListParagraph"/>
        <w:widowControl w:val="0"/>
        <w:numPr>
          <w:ilvl w:val="0"/>
          <w:numId w:val="10"/>
        </w:numPr>
        <w:spacing w:after="200" w:line="276" w:lineRule="auto"/>
        <w:jc w:val="both"/>
        <w:rPr>
          <w:rFonts w:ascii="Arial" w:eastAsia="Arial" w:hAnsi="Arial" w:cs="Arial"/>
          <w:b/>
        </w:rPr>
      </w:pPr>
      <w:r w:rsidRPr="00D351A9">
        <w:rPr>
          <w:rFonts w:ascii="Arial" w:eastAsia="Arial" w:hAnsi="Arial" w:cs="Arial"/>
          <w:b/>
        </w:rPr>
        <w:t>Police Violent crime and sexual offences 2020 – LSOA level</w:t>
      </w:r>
    </w:p>
    <w:p w:rsidR="00B3153F" w:rsidRDefault="00B3153F" w:rsidP="00B3153F">
      <w:pPr>
        <w:jc w:val="center"/>
        <w:rPr>
          <w:rFonts w:ascii="Arial" w:eastAsia="Arial" w:hAnsi="Arial" w:cs="Arial"/>
          <w:sz w:val="28"/>
          <w:szCs w:val="28"/>
        </w:rPr>
      </w:pPr>
      <w:r w:rsidRPr="00E76E4B">
        <w:rPr>
          <w:rFonts w:ascii="Arial" w:eastAsia="Arial" w:hAnsi="Arial" w:cs="Arial"/>
          <w:noProof/>
          <w:sz w:val="28"/>
          <w:szCs w:val="28"/>
          <w:lang w:eastAsia="en-GB"/>
        </w:rPr>
        <w:drawing>
          <wp:inline distT="0" distB="0" distL="0" distR="0" wp14:anchorId="0E3DC8F0" wp14:editId="735267F1">
            <wp:extent cx="5833403" cy="2699727"/>
            <wp:effectExtent l="0" t="0" r="0" b="5715"/>
            <wp:docPr id="1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3403" cy="2699727"/>
                    </a:xfrm>
                    <a:prstGeom prst="rect">
                      <a:avLst/>
                    </a:prstGeom>
                  </pic:spPr>
                </pic:pic>
              </a:graphicData>
            </a:graphic>
          </wp:inline>
        </w:drawing>
      </w:r>
    </w:p>
    <w:p w:rsidR="00B3153F" w:rsidRPr="00D351A9" w:rsidRDefault="00B3153F" w:rsidP="00B3153F">
      <w:pPr>
        <w:pStyle w:val="ListParagraph"/>
        <w:widowControl w:val="0"/>
        <w:numPr>
          <w:ilvl w:val="0"/>
          <w:numId w:val="10"/>
        </w:numPr>
        <w:spacing w:after="200" w:line="276" w:lineRule="auto"/>
        <w:rPr>
          <w:rFonts w:ascii="Arial" w:eastAsia="Arial" w:hAnsi="Arial" w:cs="Arial"/>
          <w:b/>
        </w:rPr>
      </w:pPr>
      <w:r w:rsidRPr="00D351A9">
        <w:rPr>
          <w:rFonts w:ascii="Arial" w:eastAsia="Arial" w:hAnsi="Arial" w:cs="Arial"/>
          <w:b/>
        </w:rPr>
        <w:t>Police crime trend data – top 4 LSOAs</w:t>
      </w:r>
    </w:p>
    <w:p w:rsidR="00B3153F" w:rsidRPr="00E76E4B" w:rsidRDefault="00B3153F" w:rsidP="00B3153F">
      <w:pPr>
        <w:rPr>
          <w:rFonts w:ascii="Arial" w:eastAsia="Arial" w:hAnsi="Arial" w:cs="Arial"/>
          <w:sz w:val="28"/>
          <w:szCs w:val="28"/>
        </w:rPr>
      </w:pPr>
      <w:r>
        <w:rPr>
          <w:noProof/>
          <w:lang w:eastAsia="en-GB"/>
        </w:rPr>
        <w:drawing>
          <wp:anchor distT="0" distB="0" distL="114300" distR="114300" simplePos="0" relativeHeight="251663360" behindDoc="0" locked="0" layoutInCell="1" allowOverlap="1" wp14:anchorId="3B6A70B4" wp14:editId="7D726F72">
            <wp:simplePos x="0" y="0"/>
            <wp:positionH relativeFrom="column">
              <wp:posOffset>0</wp:posOffset>
            </wp:positionH>
            <wp:positionV relativeFrom="paragraph">
              <wp:posOffset>0</wp:posOffset>
            </wp:positionV>
            <wp:extent cx="6248400" cy="747395"/>
            <wp:effectExtent l="0" t="0" r="0" b="0"/>
            <wp:wrapNone/>
            <wp:docPr id="139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6248400" cy="747395"/>
                    </a:xfrm>
                    <a:prstGeom prst="rect">
                      <a:avLst/>
                    </a:prstGeom>
                  </pic:spPr>
                </pic:pic>
              </a:graphicData>
            </a:graphic>
          </wp:anchor>
        </w:drawing>
      </w:r>
      <w:r>
        <w:rPr>
          <w:noProof/>
          <w:lang w:eastAsia="en-GB"/>
        </w:rPr>
        <w:drawing>
          <wp:anchor distT="0" distB="0" distL="114300" distR="114300" simplePos="0" relativeHeight="251664384" behindDoc="0" locked="0" layoutInCell="1" allowOverlap="1" wp14:anchorId="2A2A6240" wp14:editId="3707F237">
            <wp:simplePos x="0" y="0"/>
            <wp:positionH relativeFrom="column">
              <wp:posOffset>0</wp:posOffset>
            </wp:positionH>
            <wp:positionV relativeFrom="paragraph">
              <wp:posOffset>1328420</wp:posOffset>
            </wp:positionV>
            <wp:extent cx="6248400" cy="747395"/>
            <wp:effectExtent l="0" t="0" r="0" b="0"/>
            <wp:wrapNone/>
            <wp:docPr id="139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5"/>
                    <a:stretch>
                      <a:fillRect/>
                    </a:stretch>
                  </pic:blipFill>
                  <pic:spPr>
                    <a:xfrm>
                      <a:off x="0" y="0"/>
                      <a:ext cx="6248400" cy="747395"/>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14:anchorId="46E3EDF7" wp14:editId="312CE93C">
            <wp:simplePos x="0" y="0"/>
            <wp:positionH relativeFrom="column">
              <wp:posOffset>0</wp:posOffset>
            </wp:positionH>
            <wp:positionV relativeFrom="paragraph">
              <wp:posOffset>2656840</wp:posOffset>
            </wp:positionV>
            <wp:extent cx="6248400" cy="747395"/>
            <wp:effectExtent l="0" t="0" r="0" b="0"/>
            <wp:wrapNone/>
            <wp:docPr id="139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6"/>
                    <a:stretch>
                      <a:fillRect/>
                    </a:stretch>
                  </pic:blipFill>
                  <pic:spPr>
                    <a:xfrm>
                      <a:off x="0" y="0"/>
                      <a:ext cx="6248400" cy="747395"/>
                    </a:xfrm>
                    <a:prstGeom prst="rect">
                      <a:avLst/>
                    </a:prstGeom>
                  </pic:spPr>
                </pic:pic>
              </a:graphicData>
            </a:graphic>
          </wp:anchor>
        </w:drawing>
      </w:r>
      <w:r>
        <w:rPr>
          <w:noProof/>
          <w:lang w:eastAsia="en-GB"/>
        </w:rPr>
        <w:drawing>
          <wp:anchor distT="0" distB="0" distL="114300" distR="114300" simplePos="0" relativeHeight="251666432" behindDoc="0" locked="0" layoutInCell="1" allowOverlap="1" wp14:anchorId="22FC67BC" wp14:editId="48244EF8">
            <wp:simplePos x="0" y="0"/>
            <wp:positionH relativeFrom="column">
              <wp:posOffset>0</wp:posOffset>
            </wp:positionH>
            <wp:positionV relativeFrom="paragraph">
              <wp:posOffset>3985260</wp:posOffset>
            </wp:positionV>
            <wp:extent cx="6248400" cy="747395"/>
            <wp:effectExtent l="0" t="0" r="0"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17"/>
                    <a:stretch>
                      <a:fillRect/>
                    </a:stretch>
                  </pic:blipFill>
                  <pic:spPr>
                    <a:xfrm>
                      <a:off x="0" y="0"/>
                      <a:ext cx="6248400" cy="747395"/>
                    </a:xfrm>
                    <a:prstGeom prst="rect">
                      <a:avLst/>
                    </a:prstGeom>
                  </pic:spPr>
                </pic:pic>
              </a:graphicData>
            </a:graphic>
          </wp:anchor>
        </w:drawing>
      </w:r>
    </w:p>
    <w:p w:rsidR="00B3153F"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Pr="00E76E4B" w:rsidRDefault="00B3153F" w:rsidP="00B3153F">
      <w:pPr>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r>
        <w:rPr>
          <w:rFonts w:ascii="Arial" w:eastAsia="Arial" w:hAnsi="Arial" w:cs="Arial"/>
          <w:sz w:val="28"/>
          <w:szCs w:val="28"/>
        </w:rPr>
        <w:tab/>
      </w:r>
    </w:p>
    <w:p w:rsidR="00B3153F" w:rsidRDefault="00B3153F" w:rsidP="00B3153F">
      <w:pPr>
        <w:tabs>
          <w:tab w:val="left" w:pos="1828"/>
        </w:tabs>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p>
    <w:p w:rsidR="00E90263" w:rsidRDefault="00E90263">
      <w:pPr>
        <w:rPr>
          <w:rFonts w:ascii="Arial" w:eastAsia="Arial" w:hAnsi="Arial" w:cs="Arial"/>
          <w:b/>
        </w:rPr>
      </w:pPr>
      <w:r>
        <w:rPr>
          <w:rFonts w:ascii="Arial" w:eastAsia="Arial" w:hAnsi="Arial" w:cs="Arial"/>
          <w:b/>
        </w:rPr>
        <w:br w:type="page"/>
      </w:r>
    </w:p>
    <w:p w:rsidR="00B3153F" w:rsidRPr="00591A89" w:rsidRDefault="00B3153F" w:rsidP="00B3153F">
      <w:pPr>
        <w:pStyle w:val="ListParagraph"/>
        <w:widowControl w:val="0"/>
        <w:numPr>
          <w:ilvl w:val="0"/>
          <w:numId w:val="10"/>
        </w:numPr>
        <w:tabs>
          <w:tab w:val="left" w:pos="1828"/>
        </w:tabs>
        <w:spacing w:after="200" w:line="276" w:lineRule="auto"/>
        <w:rPr>
          <w:rFonts w:ascii="Arial" w:eastAsia="Arial" w:hAnsi="Arial" w:cs="Arial"/>
          <w:b/>
        </w:rPr>
      </w:pPr>
      <w:r w:rsidRPr="00591A89">
        <w:rPr>
          <w:rFonts w:ascii="Arial" w:eastAsia="Arial" w:hAnsi="Arial" w:cs="Arial"/>
          <w:b/>
        </w:rPr>
        <w:t>CCTV incidents</w:t>
      </w:r>
    </w:p>
    <w:p w:rsidR="00B3153F" w:rsidRPr="00E76E4B" w:rsidRDefault="00B3153F" w:rsidP="00B3153F">
      <w:pPr>
        <w:tabs>
          <w:tab w:val="left" w:pos="1828"/>
        </w:tabs>
        <w:jc w:val="center"/>
        <w:rPr>
          <w:rFonts w:ascii="Arial" w:eastAsia="Arial" w:hAnsi="Arial" w:cs="Arial"/>
          <w:sz w:val="28"/>
          <w:szCs w:val="28"/>
        </w:rPr>
      </w:pPr>
      <w:r w:rsidRPr="00E76E4B">
        <w:rPr>
          <w:rFonts w:ascii="Arial" w:eastAsia="Arial" w:hAnsi="Arial" w:cs="Arial"/>
          <w:noProof/>
          <w:sz w:val="28"/>
          <w:szCs w:val="28"/>
          <w:lang w:eastAsia="en-GB"/>
        </w:rPr>
        <w:drawing>
          <wp:inline distT="0" distB="0" distL="0" distR="0" wp14:anchorId="33F6585C" wp14:editId="0CA89A37">
            <wp:extent cx="6049618" cy="3236181"/>
            <wp:effectExtent l="0" t="0" r="8890" b="2540"/>
            <wp:docPr id="1396" name="Chart 1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153F" w:rsidRPr="00591A89" w:rsidRDefault="00B3153F" w:rsidP="00B3153F">
      <w:pPr>
        <w:tabs>
          <w:tab w:val="left" w:pos="1828"/>
        </w:tabs>
        <w:ind w:left="284"/>
        <w:rPr>
          <w:rFonts w:ascii="Arial" w:eastAsia="Arial" w:hAnsi="Arial" w:cs="Arial"/>
        </w:rPr>
      </w:pPr>
      <w:r w:rsidRPr="00591A89">
        <w:rPr>
          <w:rFonts w:ascii="Arial" w:eastAsia="Arial" w:hAnsi="Arial" w:cs="Arial"/>
        </w:rPr>
        <w:t>The graph illustrates the peak hours of incidents monitored by public space CCTV cameras in th</w:t>
      </w:r>
      <w:r w:rsidR="006E1F5B">
        <w:rPr>
          <w:rFonts w:ascii="Arial" w:eastAsia="Arial" w:hAnsi="Arial" w:cs="Arial"/>
        </w:rPr>
        <w:t xml:space="preserve">e city.  It is not possible to </w:t>
      </w:r>
      <w:r w:rsidRPr="00591A89">
        <w:rPr>
          <w:rFonts w:ascii="Arial" w:eastAsia="Arial" w:hAnsi="Arial" w:cs="Arial"/>
        </w:rPr>
        <w:t>disaggregate the small number of cameras in neighbourhood areas from the cameras in the city centre.</w:t>
      </w:r>
    </w:p>
    <w:p w:rsidR="00B3153F" w:rsidRPr="00591A89" w:rsidRDefault="00B3153F" w:rsidP="00B3153F">
      <w:pPr>
        <w:tabs>
          <w:tab w:val="left" w:pos="1828"/>
        </w:tabs>
        <w:ind w:left="284"/>
        <w:rPr>
          <w:rFonts w:ascii="Arial" w:eastAsia="Arial" w:hAnsi="Arial" w:cs="Arial"/>
        </w:rPr>
      </w:pPr>
      <w:r w:rsidRPr="00591A89">
        <w:rPr>
          <w:rFonts w:ascii="Arial" w:eastAsia="Arial" w:hAnsi="Arial" w:cs="Arial"/>
        </w:rPr>
        <w:t>This hourly breakdown is clearly linked to public space incidents during the night-time economy period.</w:t>
      </w:r>
    </w:p>
    <w:p w:rsidR="00B3153F" w:rsidRPr="00591A89" w:rsidRDefault="00B3153F" w:rsidP="00B3153F">
      <w:pPr>
        <w:pStyle w:val="ListParagraph"/>
        <w:widowControl w:val="0"/>
        <w:numPr>
          <w:ilvl w:val="0"/>
          <w:numId w:val="10"/>
        </w:numPr>
        <w:tabs>
          <w:tab w:val="left" w:pos="567"/>
        </w:tabs>
        <w:spacing w:after="200" w:line="276" w:lineRule="auto"/>
        <w:ind w:left="284" w:firstLine="0"/>
        <w:rPr>
          <w:rFonts w:ascii="Arial" w:eastAsia="Arial" w:hAnsi="Arial" w:cs="Arial"/>
          <w:b/>
        </w:rPr>
      </w:pPr>
      <w:r w:rsidRPr="00591A89">
        <w:rPr>
          <w:rFonts w:ascii="Arial" w:eastAsia="Arial" w:hAnsi="Arial" w:cs="Arial"/>
          <w:b/>
        </w:rPr>
        <w:t>Police Analysis of Violent Crime in the NTE: Methodology</w:t>
      </w:r>
    </w:p>
    <w:p w:rsidR="00B3153F" w:rsidRPr="00591A89" w:rsidRDefault="00B3153F" w:rsidP="00B3153F">
      <w:pPr>
        <w:tabs>
          <w:tab w:val="left" w:pos="1828"/>
        </w:tabs>
        <w:ind w:left="284"/>
        <w:rPr>
          <w:rFonts w:ascii="Arial" w:eastAsia="Arial" w:hAnsi="Arial" w:cs="Arial"/>
        </w:rPr>
      </w:pPr>
      <w:r w:rsidRPr="00591A89">
        <w:rPr>
          <w:rFonts w:ascii="Arial" w:eastAsia="Arial" w:hAnsi="Arial" w:cs="Arial"/>
        </w:rPr>
        <w:t xml:space="preserve">Data from the police occurrence record keeping system for occurrences taking place within the Oxford Local Police Area with a reported date between 01/01/2017 and 26/04/2021 and with the Home Office Statistics Code 1 representing Violence </w:t>
      </w:r>
      <w:proofErr w:type="gramStart"/>
      <w:r w:rsidRPr="00591A89">
        <w:rPr>
          <w:rFonts w:ascii="Arial" w:eastAsia="Arial" w:hAnsi="Arial" w:cs="Arial"/>
        </w:rPr>
        <w:t>Against</w:t>
      </w:r>
      <w:proofErr w:type="gramEnd"/>
      <w:r w:rsidRPr="00591A89">
        <w:rPr>
          <w:rFonts w:ascii="Arial" w:eastAsia="Arial" w:hAnsi="Arial" w:cs="Arial"/>
        </w:rPr>
        <w:t xml:space="preserve"> the Person or Disorder.</w:t>
      </w:r>
    </w:p>
    <w:p w:rsidR="00B3153F" w:rsidRPr="00591A89" w:rsidRDefault="00B3153F" w:rsidP="00B3153F">
      <w:pPr>
        <w:tabs>
          <w:tab w:val="left" w:pos="1828"/>
        </w:tabs>
        <w:ind w:left="284"/>
        <w:rPr>
          <w:rFonts w:ascii="Arial" w:eastAsia="Arial" w:hAnsi="Arial" w:cs="Arial"/>
        </w:rPr>
      </w:pPr>
      <w:r w:rsidRPr="00591A89">
        <w:rPr>
          <w:rFonts w:ascii="Arial" w:eastAsia="Arial" w:hAnsi="Arial" w:cs="Arial"/>
        </w:rPr>
        <w:t>Cancelled, historic or occurrences where the date was unknown were removed from the data set.</w:t>
      </w:r>
    </w:p>
    <w:p w:rsidR="00B3153F" w:rsidRPr="00591A89" w:rsidRDefault="00B3153F" w:rsidP="00B3153F">
      <w:pPr>
        <w:tabs>
          <w:tab w:val="left" w:pos="1828"/>
        </w:tabs>
        <w:ind w:left="284"/>
        <w:rPr>
          <w:rFonts w:ascii="Arial" w:eastAsia="Arial" w:hAnsi="Arial" w:cs="Arial"/>
        </w:rPr>
      </w:pPr>
      <w:r w:rsidRPr="00591A89">
        <w:rPr>
          <w:rFonts w:ascii="Arial" w:eastAsia="Arial" w:hAnsi="Arial" w:cs="Arial"/>
        </w:rPr>
        <w:t>VAP and Disorder are very broad categories and include many occurrences unrelated to the NTE, attempts were made to refine the focus of the data by removing occurrences where the Location was recorded as a Dwelling or using the following criteria:</w:t>
      </w:r>
    </w:p>
    <w:p w:rsidR="00B3153F" w:rsidRDefault="00B3153F" w:rsidP="00B3153F">
      <w:pPr>
        <w:tabs>
          <w:tab w:val="left" w:pos="1828"/>
        </w:tabs>
        <w:ind w:left="284"/>
        <w:rPr>
          <w:rFonts w:ascii="Arial" w:eastAsia="Arial" w:hAnsi="Arial" w:cs="Arial"/>
        </w:rPr>
      </w:pPr>
      <w:r w:rsidRPr="00591A89">
        <w:rPr>
          <w:rFonts w:ascii="Arial" w:eastAsia="Arial" w:hAnsi="Arial" w:cs="Arial"/>
        </w:rPr>
        <w:t xml:space="preserve">The data set resulting from the described initial search and filtering criteria comprised 4,523 occurrences which were considered to be related to Oxford’s Night Time Economy. This data set was then analysed using Microsoft Excel and </w:t>
      </w:r>
      <w:proofErr w:type="spellStart"/>
      <w:r w:rsidRPr="00591A89">
        <w:rPr>
          <w:rFonts w:ascii="Arial" w:eastAsia="Arial" w:hAnsi="Arial" w:cs="Arial"/>
        </w:rPr>
        <w:t>Esri</w:t>
      </w:r>
      <w:proofErr w:type="spellEnd"/>
      <w:r w:rsidRPr="00591A89">
        <w:rPr>
          <w:rFonts w:ascii="Arial" w:eastAsia="Arial" w:hAnsi="Arial" w:cs="Arial"/>
        </w:rPr>
        <w:t xml:space="preserve"> ArcMap.</w:t>
      </w:r>
      <w:r w:rsidRPr="00591A89">
        <w:rPr>
          <w:rFonts w:ascii="Arial" w:eastAsia="Arial" w:hAnsi="Arial" w:cs="Arial"/>
        </w:rPr>
        <w:tab/>
      </w:r>
    </w:p>
    <w:p w:rsidR="00B3153F" w:rsidRDefault="00B3153F" w:rsidP="00B3153F">
      <w:pPr>
        <w:tabs>
          <w:tab w:val="left" w:pos="1828"/>
        </w:tabs>
        <w:rPr>
          <w:rFonts w:ascii="Arial" w:eastAsia="Arial" w:hAnsi="Arial" w:cs="Arial"/>
        </w:rPr>
      </w:pPr>
    </w:p>
    <w:p w:rsidR="00B3153F" w:rsidRDefault="00B3153F" w:rsidP="00B3153F">
      <w:pPr>
        <w:tabs>
          <w:tab w:val="left" w:pos="1828"/>
        </w:tabs>
        <w:rPr>
          <w:rFonts w:ascii="Arial" w:eastAsia="Arial" w:hAnsi="Arial" w:cs="Arial"/>
        </w:rPr>
      </w:pPr>
    </w:p>
    <w:p w:rsidR="00B3153F" w:rsidRDefault="00B3153F" w:rsidP="00B3153F">
      <w:pPr>
        <w:tabs>
          <w:tab w:val="left" w:pos="1828"/>
        </w:tabs>
        <w:rPr>
          <w:rFonts w:ascii="Arial" w:eastAsia="Arial" w:hAnsi="Arial" w:cs="Arial"/>
        </w:rPr>
      </w:pPr>
    </w:p>
    <w:p w:rsidR="00B3153F" w:rsidRDefault="00B3153F" w:rsidP="00B3153F">
      <w:pPr>
        <w:tabs>
          <w:tab w:val="left" w:pos="1828"/>
        </w:tabs>
        <w:rPr>
          <w:rFonts w:ascii="Arial" w:eastAsia="Arial" w:hAnsi="Arial" w:cs="Arial"/>
        </w:rPr>
      </w:pPr>
    </w:p>
    <w:p w:rsidR="00B3153F" w:rsidRPr="00591A89" w:rsidRDefault="00B3153F" w:rsidP="00B3153F">
      <w:pPr>
        <w:tabs>
          <w:tab w:val="left" w:pos="1828"/>
        </w:tabs>
        <w:rPr>
          <w:rFonts w:ascii="Arial" w:eastAsia="Arial" w:hAnsi="Arial" w:cs="Arial"/>
        </w:rPr>
      </w:pPr>
    </w:p>
    <w:p w:rsidR="00B3153F" w:rsidRPr="00591A89" w:rsidRDefault="00B3153F" w:rsidP="00E90263">
      <w:pPr>
        <w:pStyle w:val="ListParagraph"/>
        <w:widowControl w:val="0"/>
        <w:numPr>
          <w:ilvl w:val="0"/>
          <w:numId w:val="10"/>
        </w:numPr>
        <w:tabs>
          <w:tab w:val="left" w:pos="567"/>
        </w:tabs>
        <w:spacing w:after="200" w:line="276" w:lineRule="auto"/>
        <w:ind w:left="284" w:firstLine="0"/>
        <w:rPr>
          <w:rFonts w:ascii="Arial" w:eastAsia="Arial" w:hAnsi="Arial" w:cs="Arial"/>
          <w:b/>
        </w:rPr>
      </w:pPr>
      <w:r w:rsidRPr="00591A89">
        <w:rPr>
          <w:rFonts w:ascii="Arial" w:eastAsia="Arial" w:hAnsi="Arial" w:cs="Arial"/>
          <w:b/>
        </w:rPr>
        <w:t>Police Analysis of Violent Crime in the NTE: Temporal Distribution</w:t>
      </w:r>
    </w:p>
    <w:p w:rsidR="00B3153F" w:rsidRPr="00591A89" w:rsidRDefault="00B3153F" w:rsidP="00E90263">
      <w:pPr>
        <w:tabs>
          <w:tab w:val="left" w:pos="1828"/>
        </w:tabs>
        <w:ind w:left="284"/>
        <w:rPr>
          <w:rFonts w:ascii="Arial" w:eastAsia="Arial" w:hAnsi="Arial" w:cs="Arial"/>
        </w:rPr>
      </w:pPr>
      <w:r w:rsidRPr="00591A89">
        <w:rPr>
          <w:rFonts w:ascii="Arial" w:eastAsia="Arial" w:hAnsi="Arial" w:cs="Arial"/>
        </w:rPr>
        <w:t>The temporal distribution of the 4,514 occurrences for which a time could be determined is shown below. It should be noted that 314 of these had an Event Start Time recorded as 00:00 – upon further investigation 305 of these were changed to a more accurate time based on Recorded Time, Event End Time and times noted in the summary report.</w:t>
      </w:r>
    </w:p>
    <w:p w:rsidR="00B3153F" w:rsidRDefault="00B3153F" w:rsidP="00B3153F">
      <w:pPr>
        <w:tabs>
          <w:tab w:val="left" w:pos="1828"/>
        </w:tabs>
        <w:rPr>
          <w:rFonts w:ascii="Arial" w:eastAsia="Arial" w:hAnsi="Arial" w:cs="Arial"/>
          <w:sz w:val="28"/>
          <w:szCs w:val="28"/>
        </w:rPr>
      </w:pPr>
      <w:r>
        <w:rPr>
          <w:noProof/>
          <w:lang w:eastAsia="en-GB"/>
        </w:rPr>
        <w:drawing>
          <wp:anchor distT="0" distB="0" distL="114300" distR="114300" simplePos="0" relativeHeight="251671552" behindDoc="0" locked="0" layoutInCell="1" allowOverlap="1" wp14:anchorId="3B30ECD3" wp14:editId="5EFA2102">
            <wp:simplePos x="0" y="0"/>
            <wp:positionH relativeFrom="margin">
              <wp:posOffset>643918</wp:posOffset>
            </wp:positionH>
            <wp:positionV relativeFrom="paragraph">
              <wp:posOffset>116232</wp:posOffset>
            </wp:positionV>
            <wp:extent cx="4276725" cy="2760980"/>
            <wp:effectExtent l="0" t="0" r="9525" b="1270"/>
            <wp:wrapNone/>
            <wp:docPr id="139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4276725" cy="2760980"/>
                    </a:xfrm>
                    <a:prstGeom prst="rect">
                      <a:avLst/>
                    </a:prstGeom>
                  </pic:spPr>
                </pic:pic>
              </a:graphicData>
            </a:graphic>
          </wp:anchor>
        </w:drawing>
      </w:r>
    </w:p>
    <w:p w:rsidR="00B3153F" w:rsidRDefault="00B3153F" w:rsidP="00B3153F">
      <w:pPr>
        <w:tabs>
          <w:tab w:val="left" w:pos="1828"/>
        </w:tabs>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p>
    <w:p w:rsidR="00B3153F" w:rsidRPr="005B01B6" w:rsidRDefault="00B3153F" w:rsidP="00B3153F">
      <w:pPr>
        <w:tabs>
          <w:tab w:val="left" w:pos="1828"/>
        </w:tabs>
        <w:rPr>
          <w:rFonts w:ascii="Arial" w:eastAsia="Arial" w:hAnsi="Arial" w:cs="Arial"/>
          <w:sz w:val="28"/>
          <w:szCs w:val="28"/>
        </w:rPr>
      </w:pPr>
    </w:p>
    <w:p w:rsidR="00B3153F" w:rsidRDefault="00B3153F" w:rsidP="00B3153F">
      <w:pPr>
        <w:tabs>
          <w:tab w:val="left" w:pos="1828"/>
        </w:tabs>
        <w:rPr>
          <w:rFonts w:ascii="Arial" w:eastAsia="Arial" w:hAnsi="Arial" w:cs="Arial"/>
          <w:sz w:val="28"/>
          <w:szCs w:val="28"/>
        </w:rPr>
      </w:pPr>
    </w:p>
    <w:p w:rsidR="006E1F5B" w:rsidRDefault="006E1F5B" w:rsidP="00B3153F">
      <w:pPr>
        <w:tabs>
          <w:tab w:val="left" w:pos="1828"/>
        </w:tabs>
        <w:rPr>
          <w:rFonts w:ascii="Arial" w:eastAsia="Arial" w:hAnsi="Arial" w:cs="Arial"/>
          <w:sz w:val="28"/>
          <w:szCs w:val="28"/>
        </w:rPr>
      </w:pPr>
    </w:p>
    <w:p w:rsidR="006E1F5B" w:rsidRDefault="006E1F5B" w:rsidP="00B3153F">
      <w:pPr>
        <w:tabs>
          <w:tab w:val="left" w:pos="1828"/>
        </w:tabs>
        <w:rPr>
          <w:rFonts w:ascii="Arial" w:eastAsia="Arial" w:hAnsi="Arial" w:cs="Arial"/>
          <w:sz w:val="28"/>
          <w:szCs w:val="28"/>
        </w:rPr>
      </w:pPr>
    </w:p>
    <w:p w:rsidR="00B3153F" w:rsidRPr="002733AB" w:rsidRDefault="00B3153F" w:rsidP="00B3153F">
      <w:pPr>
        <w:tabs>
          <w:tab w:val="left" w:pos="1828"/>
        </w:tabs>
        <w:ind w:left="567"/>
        <w:rPr>
          <w:rFonts w:ascii="Arial" w:eastAsia="Arial" w:hAnsi="Arial" w:cs="Arial"/>
          <w:b/>
        </w:rPr>
      </w:pPr>
      <w:r w:rsidRPr="002733AB">
        <w:rPr>
          <w:rFonts w:ascii="Arial" w:eastAsia="Arial" w:hAnsi="Arial" w:cs="Arial"/>
          <w:b/>
        </w:rPr>
        <w:t>Figure 1: Distribution of occurrences by time and day of week</w:t>
      </w:r>
    </w:p>
    <w:p w:rsidR="00B3153F" w:rsidRDefault="00B3153F" w:rsidP="00B3153F">
      <w:pPr>
        <w:tabs>
          <w:tab w:val="left" w:pos="1828"/>
        </w:tabs>
        <w:ind w:left="567"/>
        <w:rPr>
          <w:rFonts w:ascii="Arial" w:eastAsia="Arial" w:hAnsi="Arial" w:cs="Arial"/>
        </w:rPr>
      </w:pPr>
      <w:r w:rsidRPr="002733AB">
        <w:rPr>
          <w:rFonts w:ascii="Arial" w:eastAsia="Arial" w:hAnsi="Arial" w:cs="Arial"/>
        </w:rPr>
        <w:t>Shows what we might expect intuitively: almost half (47%) of occurrences linked to Oxford’s NTE occur on either a Saturday or a Sunday. The busiest period is between 01:00 and 04:00 on a Sunday morning, with those 3 hours alone accounting for 14% of occurrences analysed.</w:t>
      </w:r>
    </w:p>
    <w:tbl>
      <w:tblPr>
        <w:tblpPr w:leftFromText="180" w:rightFromText="180" w:vertAnchor="text" w:horzAnchor="margin" w:tblpXSpec="center" w:tblpY="-41"/>
        <w:tblW w:w="6940" w:type="dxa"/>
        <w:tblCellMar>
          <w:left w:w="0" w:type="dxa"/>
          <w:right w:w="0" w:type="dxa"/>
        </w:tblCellMar>
        <w:tblLook w:val="0600" w:firstRow="0" w:lastRow="0" w:firstColumn="0" w:lastColumn="0" w:noHBand="1" w:noVBand="1"/>
      </w:tblPr>
      <w:tblGrid>
        <w:gridCol w:w="1600"/>
        <w:gridCol w:w="520"/>
        <w:gridCol w:w="520"/>
        <w:gridCol w:w="520"/>
        <w:gridCol w:w="500"/>
        <w:gridCol w:w="500"/>
        <w:gridCol w:w="440"/>
        <w:gridCol w:w="440"/>
        <w:gridCol w:w="440"/>
        <w:gridCol w:w="440"/>
        <w:gridCol w:w="520"/>
        <w:gridCol w:w="500"/>
      </w:tblGrid>
      <w:tr w:rsidR="00E90263" w:rsidRPr="005B01B6" w:rsidTr="00E90263">
        <w:trPr>
          <w:trHeight w:val="1445"/>
        </w:trPr>
        <w:tc>
          <w:tcPr>
            <w:tcW w:w="1600" w:type="dxa"/>
            <w:tcBorders>
              <w:top w:val="single" w:sz="8" w:space="0" w:color="D4D4D4"/>
              <w:left w:val="single" w:sz="8" w:space="0" w:color="D4D4D4"/>
              <w:bottom w:val="single" w:sz="8" w:space="0" w:color="D4D4D4"/>
              <w:right w:val="single" w:sz="8" w:space="0" w:color="D4D4D4"/>
            </w:tcBorders>
            <w:shd w:val="clear" w:color="auto" w:fill="auto"/>
            <w:tcMar>
              <w:top w:w="12" w:type="dxa"/>
              <w:left w:w="12" w:type="dxa"/>
              <w:bottom w:w="0" w:type="dxa"/>
              <w:right w:w="12" w:type="dxa"/>
            </w:tcMar>
            <w:hideMark/>
          </w:tcPr>
          <w:p w:rsidR="00E90263" w:rsidRPr="005B01B6" w:rsidRDefault="00E90263" w:rsidP="00E90263">
            <w:pPr>
              <w:spacing w:after="0" w:line="200" w:lineRule="exact"/>
              <w:rPr>
                <w:sz w:val="20"/>
                <w:szCs w:val="20"/>
              </w:rPr>
            </w:pPr>
            <w:r w:rsidRPr="005B01B6">
              <w:rPr>
                <w:sz w:val="20"/>
                <w:szCs w:val="20"/>
              </w:rPr>
              <w:t>Fig. 2</w:t>
            </w:r>
          </w:p>
        </w:tc>
        <w:tc>
          <w:tcPr>
            <w:tcW w:w="52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00:00 ‐ 01:00</w:t>
            </w:r>
          </w:p>
        </w:tc>
        <w:tc>
          <w:tcPr>
            <w:tcW w:w="52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01:00 ‐ 02:00</w:t>
            </w:r>
          </w:p>
        </w:tc>
        <w:tc>
          <w:tcPr>
            <w:tcW w:w="52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02:00 ‐ 03:00</w:t>
            </w:r>
          </w:p>
        </w:tc>
        <w:tc>
          <w:tcPr>
            <w:tcW w:w="50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03:00 ‐ 04:00</w:t>
            </w:r>
          </w:p>
        </w:tc>
        <w:tc>
          <w:tcPr>
            <w:tcW w:w="50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04:00 ‐ 05:00</w:t>
            </w:r>
          </w:p>
        </w:tc>
        <w:tc>
          <w:tcPr>
            <w:tcW w:w="44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05:00 ‐ 06:00</w:t>
            </w:r>
          </w:p>
        </w:tc>
        <w:tc>
          <w:tcPr>
            <w:tcW w:w="440" w:type="dxa"/>
            <w:tcBorders>
              <w:top w:val="single" w:sz="8" w:space="0" w:color="D4D4D4"/>
              <w:left w:val="single" w:sz="8" w:space="0" w:color="D4D4D4"/>
              <w:bottom w:val="single" w:sz="8" w:space="0" w:color="D4D4D4"/>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w:t>
            </w:r>
          </w:p>
        </w:tc>
        <w:tc>
          <w:tcPr>
            <w:tcW w:w="44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21:00 ‐ 22:00</w:t>
            </w:r>
          </w:p>
        </w:tc>
        <w:tc>
          <w:tcPr>
            <w:tcW w:w="44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22:00 ‐ 23:00</w:t>
            </w:r>
          </w:p>
        </w:tc>
        <w:tc>
          <w:tcPr>
            <w:tcW w:w="520" w:type="dxa"/>
            <w:tcBorders>
              <w:top w:val="single" w:sz="8" w:space="0" w:color="D4D4D4"/>
              <w:left w:val="single" w:sz="8" w:space="0" w:color="D4D4D4"/>
              <w:bottom w:val="nil"/>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23:00 ‐ 00:00</w:t>
            </w:r>
          </w:p>
        </w:tc>
        <w:tc>
          <w:tcPr>
            <w:tcW w:w="500" w:type="dxa"/>
            <w:tcBorders>
              <w:top w:val="single" w:sz="8" w:space="0" w:color="D4D4D4"/>
              <w:left w:val="single" w:sz="8" w:space="0" w:color="D4D4D4"/>
              <w:bottom w:val="single" w:sz="8" w:space="0" w:color="D4D4D4"/>
              <w:right w:val="single" w:sz="8" w:space="0" w:color="D4D4D4"/>
            </w:tcBorders>
            <w:shd w:val="clear" w:color="auto" w:fill="auto"/>
            <w:tcMar>
              <w:top w:w="12" w:type="dxa"/>
              <w:left w:w="12" w:type="dxa"/>
              <w:bottom w:w="0" w:type="dxa"/>
              <w:right w:w="12" w:type="dxa"/>
            </w:tcMar>
            <w:textDirection w:val="btLr"/>
            <w:vAlign w:val="center"/>
            <w:hideMark/>
          </w:tcPr>
          <w:p w:rsidR="00E90263" w:rsidRPr="005B01B6" w:rsidRDefault="00E90263" w:rsidP="00E90263">
            <w:pPr>
              <w:spacing w:after="0" w:line="200" w:lineRule="exact"/>
              <w:rPr>
                <w:sz w:val="20"/>
                <w:szCs w:val="20"/>
              </w:rPr>
            </w:pPr>
            <w:r w:rsidRPr="005B01B6">
              <w:rPr>
                <w:sz w:val="20"/>
                <w:szCs w:val="20"/>
              </w:rPr>
              <w:t>Grand Total</w:t>
            </w:r>
          </w:p>
        </w:tc>
      </w:tr>
      <w:tr w:rsidR="00E90263" w:rsidRPr="005B01B6" w:rsidTr="00E90263">
        <w:trPr>
          <w:trHeight w:val="360"/>
        </w:trPr>
        <w:tc>
          <w:tcPr>
            <w:tcW w:w="1600" w:type="dxa"/>
            <w:tcBorders>
              <w:top w:val="single" w:sz="8" w:space="0" w:color="D4D4D4"/>
              <w:left w:val="single" w:sz="8" w:space="0" w:color="D4D4D4"/>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Monday</w:t>
            </w:r>
          </w:p>
        </w:tc>
        <w:tc>
          <w:tcPr>
            <w:tcW w:w="520" w:type="dxa"/>
            <w:tcBorders>
              <w:top w:val="nil"/>
              <w:left w:val="nil"/>
              <w:bottom w:val="nil"/>
              <w:right w:val="nil"/>
            </w:tcBorders>
            <w:shd w:val="clear" w:color="auto" w:fill="FFE6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12</w:t>
            </w:r>
          </w:p>
        </w:tc>
        <w:tc>
          <w:tcPr>
            <w:tcW w:w="520" w:type="dxa"/>
            <w:tcBorders>
              <w:top w:val="nil"/>
              <w:left w:val="nil"/>
              <w:bottom w:val="nil"/>
              <w:right w:val="nil"/>
            </w:tcBorders>
            <w:shd w:val="clear" w:color="auto" w:fill="FFE6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9</w:t>
            </w:r>
          </w:p>
        </w:tc>
        <w:tc>
          <w:tcPr>
            <w:tcW w:w="520" w:type="dxa"/>
            <w:tcBorders>
              <w:top w:val="nil"/>
              <w:left w:val="nil"/>
              <w:bottom w:val="nil"/>
              <w:right w:val="nil"/>
            </w:tcBorders>
            <w:shd w:val="clear" w:color="auto" w:fill="FFE6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00" w:type="dxa"/>
            <w:tcBorders>
              <w:top w:val="nil"/>
              <w:left w:val="nil"/>
              <w:bottom w:val="nil"/>
              <w:right w:val="nil"/>
            </w:tcBorders>
            <w:shd w:val="clear" w:color="auto" w:fill="CBDC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00" w:type="dxa"/>
            <w:tcBorders>
              <w:top w:val="nil"/>
              <w:left w:val="nil"/>
              <w:bottom w:val="nil"/>
              <w:right w:val="nil"/>
            </w:tcBorders>
            <w:shd w:val="clear" w:color="auto" w:fill="CBDC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440" w:type="dxa"/>
            <w:tcBorders>
              <w:top w:val="nil"/>
              <w:left w:val="nil"/>
              <w:bottom w:val="nil"/>
              <w:right w:val="nil"/>
            </w:tcBorders>
            <w:shd w:val="clear" w:color="auto" w:fill="63BE7A"/>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w:t>
            </w:r>
          </w:p>
        </w:tc>
        <w:tc>
          <w:tcPr>
            <w:tcW w:w="440" w:type="dxa"/>
            <w:tcBorders>
              <w:top w:val="single" w:sz="8" w:space="0" w:color="D4D4D4"/>
              <w:left w:val="nil"/>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nil"/>
              <w:left w:val="nil"/>
              <w:bottom w:val="nil"/>
              <w:right w:val="nil"/>
            </w:tcBorders>
            <w:shd w:val="clear" w:color="auto" w:fill="97CD7D"/>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w:t>
            </w:r>
          </w:p>
        </w:tc>
        <w:tc>
          <w:tcPr>
            <w:tcW w:w="440" w:type="dxa"/>
            <w:tcBorders>
              <w:top w:val="nil"/>
              <w:left w:val="nil"/>
              <w:bottom w:val="nil"/>
              <w:right w:val="nil"/>
            </w:tcBorders>
            <w:shd w:val="clear" w:color="auto" w:fill="B1D47E"/>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w:t>
            </w:r>
          </w:p>
        </w:tc>
        <w:tc>
          <w:tcPr>
            <w:tcW w:w="520" w:type="dxa"/>
            <w:tcBorders>
              <w:top w:val="nil"/>
              <w:left w:val="nil"/>
              <w:bottom w:val="nil"/>
              <w:right w:val="nil"/>
            </w:tcBorders>
            <w:shd w:val="clear" w:color="auto" w:fill="97CD7D"/>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w:t>
            </w:r>
          </w:p>
        </w:tc>
        <w:tc>
          <w:tcPr>
            <w:tcW w:w="500" w:type="dxa"/>
            <w:tcBorders>
              <w:top w:val="single" w:sz="8" w:space="0" w:color="D4D4D4"/>
              <w:left w:val="nil"/>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49</w:t>
            </w:r>
          </w:p>
        </w:tc>
      </w:tr>
      <w:tr w:rsidR="00E90263" w:rsidRPr="005B01B6" w:rsidTr="00E90263">
        <w:trPr>
          <w:trHeight w:val="360"/>
        </w:trPr>
        <w:tc>
          <w:tcPr>
            <w:tcW w:w="1600" w:type="dxa"/>
            <w:tcBorders>
              <w:top w:val="single" w:sz="8" w:space="0" w:color="D4D4D4"/>
              <w:left w:val="single" w:sz="8" w:space="0" w:color="D4D4D4"/>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Tuesday</w:t>
            </w:r>
          </w:p>
        </w:tc>
        <w:tc>
          <w:tcPr>
            <w:tcW w:w="520" w:type="dxa"/>
            <w:tcBorders>
              <w:top w:val="nil"/>
              <w:left w:val="nil"/>
              <w:bottom w:val="nil"/>
              <w:right w:val="nil"/>
            </w:tcBorders>
            <w:shd w:val="clear" w:color="auto" w:fill="FFEB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11</w:t>
            </w:r>
          </w:p>
        </w:tc>
        <w:tc>
          <w:tcPr>
            <w:tcW w:w="520" w:type="dxa"/>
            <w:tcBorders>
              <w:top w:val="nil"/>
              <w:left w:val="nil"/>
              <w:bottom w:val="nil"/>
              <w:right w:val="nil"/>
            </w:tcBorders>
            <w:shd w:val="clear" w:color="auto" w:fill="E5E383"/>
            <w:tcMar>
              <w:top w:w="12" w:type="dxa"/>
              <w:left w:w="288"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6</w:t>
            </w:r>
          </w:p>
        </w:tc>
        <w:tc>
          <w:tcPr>
            <w:tcW w:w="520" w:type="dxa"/>
            <w:tcBorders>
              <w:top w:val="nil"/>
              <w:left w:val="nil"/>
              <w:bottom w:val="nil"/>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12</w:t>
            </w:r>
          </w:p>
        </w:tc>
        <w:tc>
          <w:tcPr>
            <w:tcW w:w="500" w:type="dxa"/>
            <w:tcBorders>
              <w:top w:val="nil"/>
              <w:left w:val="nil"/>
              <w:bottom w:val="nil"/>
              <w:right w:val="nil"/>
            </w:tcBorders>
            <w:shd w:val="clear" w:color="auto" w:fill="FED580"/>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18</w:t>
            </w:r>
          </w:p>
        </w:tc>
        <w:tc>
          <w:tcPr>
            <w:tcW w:w="500" w:type="dxa"/>
            <w:tcBorders>
              <w:top w:val="nil"/>
              <w:left w:val="nil"/>
              <w:bottom w:val="nil"/>
              <w:right w:val="nil"/>
            </w:tcBorders>
            <w:shd w:val="clear" w:color="auto" w:fill="FED580"/>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16</w:t>
            </w:r>
          </w:p>
        </w:tc>
        <w:tc>
          <w:tcPr>
            <w:tcW w:w="440" w:type="dxa"/>
            <w:tcBorders>
              <w:top w:val="nil"/>
              <w:left w:val="nil"/>
              <w:bottom w:val="nil"/>
              <w:right w:val="nil"/>
            </w:tcBorders>
            <w:shd w:val="clear" w:color="auto" w:fill="FFE9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8</w:t>
            </w:r>
          </w:p>
        </w:tc>
        <w:tc>
          <w:tcPr>
            <w:tcW w:w="440" w:type="dxa"/>
            <w:tcBorders>
              <w:top w:val="single" w:sz="8" w:space="0" w:color="D4D4D4"/>
              <w:left w:val="nil"/>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nil"/>
              <w:left w:val="nil"/>
              <w:bottom w:val="nil"/>
              <w:right w:val="nil"/>
            </w:tcBorders>
            <w:shd w:val="clear" w:color="auto" w:fill="7CC57B"/>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w:t>
            </w:r>
          </w:p>
        </w:tc>
        <w:tc>
          <w:tcPr>
            <w:tcW w:w="440" w:type="dxa"/>
            <w:tcBorders>
              <w:top w:val="nil"/>
              <w:left w:val="nil"/>
              <w:bottom w:val="nil"/>
              <w:right w:val="nil"/>
            </w:tcBorders>
            <w:shd w:val="clear" w:color="auto" w:fill="CBDC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20" w:type="dxa"/>
            <w:tcBorders>
              <w:top w:val="nil"/>
              <w:left w:val="nil"/>
              <w:bottom w:val="nil"/>
              <w:right w:val="nil"/>
            </w:tcBorders>
            <w:shd w:val="clear" w:color="auto" w:fill="FFEB85"/>
            <w:tcMar>
              <w:top w:w="12" w:type="dxa"/>
              <w:left w:w="288"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00" w:type="dxa"/>
            <w:tcBorders>
              <w:top w:val="single" w:sz="8" w:space="0" w:color="D4D4D4"/>
              <w:left w:val="nil"/>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85</w:t>
            </w:r>
          </w:p>
        </w:tc>
      </w:tr>
      <w:tr w:rsidR="00E90263" w:rsidRPr="005B01B6" w:rsidTr="00E90263">
        <w:trPr>
          <w:trHeight w:val="360"/>
        </w:trPr>
        <w:tc>
          <w:tcPr>
            <w:tcW w:w="1600" w:type="dxa"/>
            <w:tcBorders>
              <w:top w:val="single" w:sz="8" w:space="0" w:color="D4D4D4"/>
              <w:left w:val="single" w:sz="8" w:space="0" w:color="D4D4D4"/>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Wednesday</w:t>
            </w:r>
          </w:p>
        </w:tc>
        <w:tc>
          <w:tcPr>
            <w:tcW w:w="520" w:type="dxa"/>
            <w:tcBorders>
              <w:top w:val="nil"/>
              <w:left w:val="nil"/>
              <w:bottom w:val="nil"/>
              <w:right w:val="nil"/>
            </w:tcBorders>
            <w:shd w:val="clear" w:color="auto" w:fill="FFEB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20" w:type="dxa"/>
            <w:tcBorders>
              <w:top w:val="nil"/>
              <w:left w:val="nil"/>
              <w:bottom w:val="nil"/>
              <w:right w:val="nil"/>
            </w:tcBorders>
            <w:shd w:val="clear" w:color="auto" w:fill="FFE484"/>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8</w:t>
            </w:r>
          </w:p>
        </w:tc>
        <w:tc>
          <w:tcPr>
            <w:tcW w:w="520" w:type="dxa"/>
            <w:tcBorders>
              <w:top w:val="nil"/>
              <w:left w:val="nil"/>
              <w:bottom w:val="nil"/>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00" w:type="dxa"/>
            <w:tcBorders>
              <w:top w:val="nil"/>
              <w:left w:val="nil"/>
              <w:bottom w:val="nil"/>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00" w:type="dxa"/>
            <w:tcBorders>
              <w:top w:val="nil"/>
              <w:left w:val="nil"/>
              <w:bottom w:val="nil"/>
              <w:right w:val="nil"/>
            </w:tcBorders>
            <w:shd w:val="clear" w:color="auto" w:fill="97CD7D"/>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w:t>
            </w:r>
          </w:p>
        </w:tc>
        <w:tc>
          <w:tcPr>
            <w:tcW w:w="440" w:type="dxa"/>
            <w:tcBorders>
              <w:top w:val="nil"/>
              <w:left w:val="nil"/>
              <w:bottom w:val="nil"/>
              <w:right w:val="nil"/>
            </w:tcBorders>
            <w:shd w:val="clear" w:color="auto" w:fill="97CD7D"/>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w:t>
            </w:r>
          </w:p>
        </w:tc>
        <w:tc>
          <w:tcPr>
            <w:tcW w:w="440" w:type="dxa"/>
            <w:tcBorders>
              <w:top w:val="single" w:sz="8" w:space="0" w:color="D4D4D4"/>
              <w:left w:val="nil"/>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nil"/>
              <w:left w:val="nil"/>
              <w:bottom w:val="nil"/>
              <w:right w:val="nil"/>
            </w:tcBorders>
            <w:shd w:val="clear" w:color="auto" w:fill="7CC57B"/>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w:t>
            </w:r>
          </w:p>
        </w:tc>
        <w:tc>
          <w:tcPr>
            <w:tcW w:w="440" w:type="dxa"/>
            <w:tcBorders>
              <w:top w:val="nil"/>
              <w:left w:val="nil"/>
              <w:bottom w:val="nil"/>
              <w:right w:val="nil"/>
            </w:tcBorders>
            <w:shd w:val="clear" w:color="auto" w:fill="7CC57B"/>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w:t>
            </w:r>
          </w:p>
        </w:tc>
        <w:tc>
          <w:tcPr>
            <w:tcW w:w="520" w:type="dxa"/>
            <w:tcBorders>
              <w:top w:val="nil"/>
              <w:left w:val="nil"/>
              <w:bottom w:val="nil"/>
              <w:right w:val="nil"/>
            </w:tcBorders>
            <w:shd w:val="clear" w:color="auto" w:fill="FFEB85"/>
            <w:tcMar>
              <w:top w:w="12" w:type="dxa"/>
              <w:left w:w="288"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00" w:type="dxa"/>
            <w:tcBorders>
              <w:top w:val="single" w:sz="8" w:space="0" w:color="D4D4D4"/>
              <w:left w:val="nil"/>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42</w:t>
            </w:r>
          </w:p>
        </w:tc>
      </w:tr>
      <w:tr w:rsidR="00E90263" w:rsidRPr="005B01B6" w:rsidTr="00E90263">
        <w:trPr>
          <w:trHeight w:val="360"/>
        </w:trPr>
        <w:tc>
          <w:tcPr>
            <w:tcW w:w="1600" w:type="dxa"/>
            <w:tcBorders>
              <w:top w:val="single" w:sz="8" w:space="0" w:color="D4D4D4"/>
              <w:left w:val="single" w:sz="8" w:space="0" w:color="D4D4D4"/>
              <w:bottom w:val="single" w:sz="12" w:space="0" w:color="000000"/>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Thursday</w:t>
            </w:r>
          </w:p>
        </w:tc>
        <w:tc>
          <w:tcPr>
            <w:tcW w:w="520" w:type="dxa"/>
            <w:tcBorders>
              <w:top w:val="nil"/>
              <w:left w:val="nil"/>
              <w:bottom w:val="single" w:sz="12" w:space="0" w:color="000000"/>
              <w:right w:val="nil"/>
            </w:tcBorders>
            <w:shd w:val="clear" w:color="auto" w:fill="FFEB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13</w:t>
            </w:r>
          </w:p>
        </w:tc>
        <w:tc>
          <w:tcPr>
            <w:tcW w:w="520" w:type="dxa"/>
            <w:tcBorders>
              <w:top w:val="nil"/>
              <w:left w:val="nil"/>
              <w:bottom w:val="single" w:sz="12" w:space="0" w:color="000000"/>
              <w:right w:val="nil"/>
            </w:tcBorders>
            <w:shd w:val="clear" w:color="auto" w:fill="FFE484"/>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10</w:t>
            </w:r>
          </w:p>
        </w:tc>
        <w:tc>
          <w:tcPr>
            <w:tcW w:w="520" w:type="dxa"/>
            <w:tcBorders>
              <w:top w:val="nil"/>
              <w:left w:val="nil"/>
              <w:bottom w:val="single" w:sz="12" w:space="0" w:color="000000"/>
              <w:right w:val="nil"/>
            </w:tcBorders>
            <w:shd w:val="clear" w:color="auto" w:fill="FFE685"/>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13</w:t>
            </w:r>
          </w:p>
        </w:tc>
        <w:tc>
          <w:tcPr>
            <w:tcW w:w="500" w:type="dxa"/>
            <w:tcBorders>
              <w:top w:val="nil"/>
              <w:left w:val="nil"/>
              <w:bottom w:val="single" w:sz="12" w:space="0" w:color="000000"/>
              <w:right w:val="nil"/>
            </w:tcBorders>
            <w:shd w:val="clear" w:color="auto" w:fill="FFE6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9</w:t>
            </w:r>
          </w:p>
        </w:tc>
        <w:tc>
          <w:tcPr>
            <w:tcW w:w="500" w:type="dxa"/>
            <w:tcBorders>
              <w:top w:val="nil"/>
              <w:left w:val="nil"/>
              <w:bottom w:val="single" w:sz="12" w:space="0" w:color="000000"/>
              <w:right w:val="nil"/>
            </w:tcBorders>
            <w:shd w:val="clear" w:color="auto" w:fill="FFE6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15</w:t>
            </w:r>
          </w:p>
        </w:tc>
        <w:tc>
          <w:tcPr>
            <w:tcW w:w="440" w:type="dxa"/>
            <w:tcBorders>
              <w:top w:val="nil"/>
              <w:left w:val="nil"/>
              <w:bottom w:val="single" w:sz="12" w:space="0" w:color="000000"/>
              <w:right w:val="nil"/>
            </w:tcBorders>
            <w:shd w:val="clear" w:color="auto" w:fill="97CD7D"/>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w:t>
            </w:r>
          </w:p>
        </w:tc>
        <w:tc>
          <w:tcPr>
            <w:tcW w:w="440" w:type="dxa"/>
            <w:tcBorders>
              <w:top w:val="single" w:sz="8" w:space="0" w:color="D4D4D4"/>
              <w:left w:val="nil"/>
              <w:bottom w:val="single" w:sz="12" w:space="0" w:color="000000"/>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nil"/>
              <w:left w:val="nil"/>
              <w:bottom w:val="single" w:sz="12" w:space="0" w:color="000000"/>
              <w:right w:val="nil"/>
            </w:tcBorders>
            <w:shd w:val="clear" w:color="auto" w:fill="E5E383"/>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6</w:t>
            </w:r>
          </w:p>
        </w:tc>
        <w:tc>
          <w:tcPr>
            <w:tcW w:w="440" w:type="dxa"/>
            <w:tcBorders>
              <w:top w:val="nil"/>
              <w:left w:val="nil"/>
              <w:bottom w:val="single" w:sz="12" w:space="0" w:color="000000"/>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w:t>
            </w:r>
          </w:p>
        </w:tc>
        <w:tc>
          <w:tcPr>
            <w:tcW w:w="520" w:type="dxa"/>
            <w:tcBorders>
              <w:top w:val="nil"/>
              <w:left w:val="nil"/>
              <w:bottom w:val="single" w:sz="12" w:space="0" w:color="000000"/>
              <w:right w:val="nil"/>
            </w:tcBorders>
            <w:shd w:val="clear" w:color="auto" w:fill="CBDC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00" w:type="dxa"/>
            <w:tcBorders>
              <w:top w:val="single" w:sz="8" w:space="0" w:color="D4D4D4"/>
              <w:left w:val="nil"/>
              <w:bottom w:val="single" w:sz="12" w:space="0" w:color="000000"/>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76</w:t>
            </w:r>
          </w:p>
        </w:tc>
      </w:tr>
      <w:tr w:rsidR="00E90263" w:rsidRPr="005B01B6" w:rsidTr="00E90263">
        <w:trPr>
          <w:trHeight w:val="372"/>
        </w:trPr>
        <w:tc>
          <w:tcPr>
            <w:tcW w:w="1600" w:type="dxa"/>
            <w:tcBorders>
              <w:top w:val="single" w:sz="12" w:space="0" w:color="000000"/>
              <w:left w:val="single" w:sz="8" w:space="0" w:color="000000"/>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Friday</w:t>
            </w:r>
          </w:p>
        </w:tc>
        <w:tc>
          <w:tcPr>
            <w:tcW w:w="520" w:type="dxa"/>
            <w:tcBorders>
              <w:top w:val="single" w:sz="12" w:space="0" w:color="000000"/>
              <w:left w:val="nil"/>
              <w:bottom w:val="nil"/>
              <w:right w:val="nil"/>
            </w:tcBorders>
            <w:shd w:val="clear" w:color="auto" w:fill="E5E383"/>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6</w:t>
            </w:r>
          </w:p>
        </w:tc>
        <w:tc>
          <w:tcPr>
            <w:tcW w:w="520" w:type="dxa"/>
            <w:tcBorders>
              <w:top w:val="single" w:sz="12" w:space="0" w:color="000000"/>
              <w:left w:val="nil"/>
              <w:bottom w:val="nil"/>
              <w:right w:val="nil"/>
            </w:tcBorders>
            <w:shd w:val="clear" w:color="auto" w:fill="FFDF83"/>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12</w:t>
            </w:r>
          </w:p>
        </w:tc>
        <w:tc>
          <w:tcPr>
            <w:tcW w:w="520" w:type="dxa"/>
            <w:tcBorders>
              <w:top w:val="single" w:sz="12" w:space="0" w:color="000000"/>
              <w:left w:val="nil"/>
              <w:bottom w:val="nil"/>
              <w:right w:val="nil"/>
            </w:tcBorders>
            <w:shd w:val="clear" w:color="auto" w:fill="FFE985"/>
            <w:tcMar>
              <w:top w:w="12" w:type="dxa"/>
              <w:left w:w="288"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00" w:type="dxa"/>
            <w:tcBorders>
              <w:top w:val="single" w:sz="12" w:space="0" w:color="000000"/>
              <w:left w:val="nil"/>
              <w:bottom w:val="nil"/>
              <w:right w:val="nil"/>
            </w:tcBorders>
            <w:shd w:val="clear" w:color="auto" w:fill="FFE9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8</w:t>
            </w:r>
          </w:p>
        </w:tc>
        <w:tc>
          <w:tcPr>
            <w:tcW w:w="500" w:type="dxa"/>
            <w:tcBorders>
              <w:top w:val="single" w:sz="12" w:space="0" w:color="000000"/>
              <w:left w:val="nil"/>
              <w:bottom w:val="nil"/>
              <w:right w:val="nil"/>
            </w:tcBorders>
            <w:shd w:val="clear" w:color="auto" w:fill="FFE9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10</w:t>
            </w:r>
          </w:p>
        </w:tc>
        <w:tc>
          <w:tcPr>
            <w:tcW w:w="440" w:type="dxa"/>
            <w:tcBorders>
              <w:top w:val="single" w:sz="12" w:space="0" w:color="000000"/>
              <w:left w:val="nil"/>
              <w:bottom w:val="nil"/>
              <w:right w:val="nil"/>
            </w:tcBorders>
            <w:shd w:val="clear" w:color="auto" w:fill="7CC57B"/>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w:t>
            </w:r>
          </w:p>
        </w:tc>
        <w:tc>
          <w:tcPr>
            <w:tcW w:w="440" w:type="dxa"/>
            <w:tcBorders>
              <w:top w:val="single" w:sz="12" w:space="0" w:color="000000"/>
              <w:left w:val="nil"/>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single" w:sz="12" w:space="0" w:color="000000"/>
              <w:left w:val="nil"/>
              <w:bottom w:val="nil"/>
              <w:right w:val="nil"/>
            </w:tcBorders>
            <w:shd w:val="clear" w:color="auto" w:fill="FFEB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11</w:t>
            </w:r>
          </w:p>
        </w:tc>
        <w:tc>
          <w:tcPr>
            <w:tcW w:w="440" w:type="dxa"/>
            <w:tcBorders>
              <w:top w:val="single" w:sz="12" w:space="0" w:color="000000"/>
              <w:left w:val="nil"/>
              <w:bottom w:val="nil"/>
              <w:right w:val="nil"/>
            </w:tcBorders>
            <w:shd w:val="clear" w:color="auto" w:fill="FFEB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20" w:type="dxa"/>
            <w:tcBorders>
              <w:top w:val="single" w:sz="12" w:space="0" w:color="000000"/>
              <w:left w:val="nil"/>
              <w:bottom w:val="nil"/>
              <w:right w:val="nil"/>
            </w:tcBorders>
            <w:shd w:val="clear" w:color="auto" w:fill="CBDC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00" w:type="dxa"/>
            <w:tcBorders>
              <w:top w:val="single" w:sz="12" w:space="0" w:color="000000"/>
              <w:left w:val="nil"/>
              <w:bottom w:val="single" w:sz="8" w:space="0" w:color="D4D4D4"/>
              <w:right w:val="single" w:sz="12" w:space="0" w:color="000000"/>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68</w:t>
            </w:r>
          </w:p>
        </w:tc>
      </w:tr>
      <w:tr w:rsidR="00E90263" w:rsidRPr="005B01B6" w:rsidTr="00E90263">
        <w:trPr>
          <w:trHeight w:val="360"/>
        </w:trPr>
        <w:tc>
          <w:tcPr>
            <w:tcW w:w="1600" w:type="dxa"/>
            <w:tcBorders>
              <w:top w:val="single" w:sz="8" w:space="0" w:color="D4D4D4"/>
              <w:left w:val="single" w:sz="8" w:space="0" w:color="000000"/>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Saturday</w:t>
            </w:r>
          </w:p>
        </w:tc>
        <w:tc>
          <w:tcPr>
            <w:tcW w:w="520" w:type="dxa"/>
            <w:tcBorders>
              <w:top w:val="nil"/>
              <w:left w:val="nil"/>
              <w:bottom w:val="nil"/>
              <w:right w:val="nil"/>
            </w:tcBorders>
            <w:shd w:val="clear" w:color="auto" w:fill="FED07E"/>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15</w:t>
            </w:r>
          </w:p>
        </w:tc>
        <w:tc>
          <w:tcPr>
            <w:tcW w:w="520" w:type="dxa"/>
            <w:tcBorders>
              <w:top w:val="nil"/>
              <w:left w:val="nil"/>
              <w:bottom w:val="nil"/>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27</w:t>
            </w:r>
          </w:p>
        </w:tc>
        <w:tc>
          <w:tcPr>
            <w:tcW w:w="520" w:type="dxa"/>
            <w:tcBorders>
              <w:top w:val="nil"/>
              <w:left w:val="nil"/>
              <w:bottom w:val="nil"/>
              <w:right w:val="nil"/>
            </w:tcBorders>
            <w:shd w:val="clear" w:color="auto" w:fill="auto"/>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32</w:t>
            </w:r>
          </w:p>
        </w:tc>
        <w:tc>
          <w:tcPr>
            <w:tcW w:w="500" w:type="dxa"/>
            <w:tcBorders>
              <w:top w:val="nil"/>
              <w:left w:val="nil"/>
              <w:bottom w:val="nil"/>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28</w:t>
            </w:r>
          </w:p>
        </w:tc>
        <w:tc>
          <w:tcPr>
            <w:tcW w:w="500" w:type="dxa"/>
            <w:tcBorders>
              <w:top w:val="nil"/>
              <w:left w:val="nil"/>
              <w:bottom w:val="nil"/>
              <w:right w:val="nil"/>
            </w:tcBorders>
            <w:shd w:val="clear" w:color="auto" w:fill="FB9A7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40</w:t>
            </w:r>
          </w:p>
        </w:tc>
        <w:tc>
          <w:tcPr>
            <w:tcW w:w="440" w:type="dxa"/>
            <w:tcBorders>
              <w:top w:val="nil"/>
              <w:left w:val="nil"/>
              <w:bottom w:val="nil"/>
              <w:right w:val="nil"/>
            </w:tcBorders>
            <w:shd w:val="clear" w:color="auto" w:fill="FED580"/>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16</w:t>
            </w:r>
          </w:p>
        </w:tc>
        <w:tc>
          <w:tcPr>
            <w:tcW w:w="440" w:type="dxa"/>
            <w:tcBorders>
              <w:top w:val="single" w:sz="8" w:space="0" w:color="D4D4D4"/>
              <w:left w:val="nil"/>
              <w:bottom w:val="single" w:sz="8" w:space="0" w:color="D4D4D4"/>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nil"/>
              <w:left w:val="nil"/>
              <w:bottom w:val="nil"/>
              <w:right w:val="nil"/>
            </w:tcBorders>
            <w:shd w:val="clear" w:color="auto" w:fill="FFE484"/>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10</w:t>
            </w:r>
          </w:p>
        </w:tc>
        <w:tc>
          <w:tcPr>
            <w:tcW w:w="440" w:type="dxa"/>
            <w:tcBorders>
              <w:top w:val="nil"/>
              <w:left w:val="nil"/>
              <w:bottom w:val="nil"/>
              <w:right w:val="nil"/>
            </w:tcBorders>
            <w:shd w:val="clear" w:color="auto" w:fill="CBDC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w:t>
            </w:r>
          </w:p>
        </w:tc>
        <w:tc>
          <w:tcPr>
            <w:tcW w:w="520" w:type="dxa"/>
            <w:tcBorders>
              <w:top w:val="nil"/>
              <w:left w:val="nil"/>
              <w:bottom w:val="nil"/>
              <w:right w:val="nil"/>
            </w:tcBorders>
            <w:shd w:val="clear" w:color="auto" w:fill="FFDA82"/>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14</w:t>
            </w:r>
          </w:p>
        </w:tc>
        <w:tc>
          <w:tcPr>
            <w:tcW w:w="500" w:type="dxa"/>
            <w:tcBorders>
              <w:top w:val="single" w:sz="8" w:space="0" w:color="D4D4D4"/>
              <w:left w:val="nil"/>
              <w:bottom w:val="single" w:sz="8" w:space="0" w:color="D4D4D4"/>
              <w:right w:val="single" w:sz="12" w:space="0" w:color="000000"/>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187</w:t>
            </w:r>
          </w:p>
        </w:tc>
      </w:tr>
      <w:tr w:rsidR="00E90263" w:rsidRPr="005B01B6" w:rsidTr="00E90263">
        <w:trPr>
          <w:trHeight w:val="360"/>
        </w:trPr>
        <w:tc>
          <w:tcPr>
            <w:tcW w:w="1600" w:type="dxa"/>
            <w:tcBorders>
              <w:top w:val="single" w:sz="8" w:space="0" w:color="D4D4D4"/>
              <w:left w:val="single" w:sz="8" w:space="0" w:color="000000"/>
              <w:bottom w:val="single" w:sz="12" w:space="0" w:color="000000"/>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Sunday</w:t>
            </w:r>
          </w:p>
        </w:tc>
        <w:tc>
          <w:tcPr>
            <w:tcW w:w="520" w:type="dxa"/>
            <w:tcBorders>
              <w:top w:val="nil"/>
              <w:left w:val="nil"/>
              <w:bottom w:val="single" w:sz="12" w:space="0" w:color="000000"/>
              <w:right w:val="nil"/>
            </w:tcBorders>
            <w:shd w:val="clear" w:color="auto" w:fill="FED07E"/>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18</w:t>
            </w:r>
          </w:p>
        </w:tc>
        <w:tc>
          <w:tcPr>
            <w:tcW w:w="520" w:type="dxa"/>
            <w:tcBorders>
              <w:top w:val="nil"/>
              <w:left w:val="nil"/>
              <w:bottom w:val="single" w:sz="12" w:space="0" w:color="000000"/>
              <w:right w:val="nil"/>
            </w:tcBorders>
            <w:shd w:val="clear" w:color="auto" w:fill="F8696B"/>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59</w:t>
            </w:r>
          </w:p>
        </w:tc>
        <w:tc>
          <w:tcPr>
            <w:tcW w:w="520" w:type="dxa"/>
            <w:tcBorders>
              <w:top w:val="nil"/>
              <w:left w:val="nil"/>
              <w:bottom w:val="single" w:sz="12" w:space="0" w:color="000000"/>
              <w:right w:val="nil"/>
            </w:tcBorders>
            <w:shd w:val="clear" w:color="auto" w:fill="F97A6F"/>
            <w:tcMar>
              <w:top w:w="12" w:type="dxa"/>
              <w:left w:w="144"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52</w:t>
            </w:r>
          </w:p>
        </w:tc>
        <w:tc>
          <w:tcPr>
            <w:tcW w:w="500" w:type="dxa"/>
            <w:tcBorders>
              <w:top w:val="nil"/>
              <w:left w:val="nil"/>
              <w:bottom w:val="single" w:sz="12" w:space="0" w:color="000000"/>
              <w:right w:val="nil"/>
            </w:tcBorders>
            <w:shd w:val="clear" w:color="auto" w:fill="FB9774"/>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41</w:t>
            </w:r>
          </w:p>
        </w:tc>
        <w:tc>
          <w:tcPr>
            <w:tcW w:w="500" w:type="dxa"/>
            <w:tcBorders>
              <w:top w:val="nil"/>
              <w:left w:val="nil"/>
              <w:bottom w:val="single" w:sz="12" w:space="0" w:color="000000"/>
              <w:right w:val="nil"/>
            </w:tcBorders>
            <w:shd w:val="clear" w:color="auto" w:fill="F8696B"/>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59</w:t>
            </w:r>
          </w:p>
        </w:tc>
        <w:tc>
          <w:tcPr>
            <w:tcW w:w="440" w:type="dxa"/>
            <w:tcBorders>
              <w:top w:val="nil"/>
              <w:left w:val="nil"/>
              <w:bottom w:val="single" w:sz="12" w:space="0" w:color="000000"/>
              <w:right w:val="nil"/>
            </w:tcBorders>
            <w:shd w:val="clear" w:color="auto" w:fill="FDC67C"/>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22</w:t>
            </w:r>
          </w:p>
        </w:tc>
        <w:tc>
          <w:tcPr>
            <w:tcW w:w="440" w:type="dxa"/>
            <w:tcBorders>
              <w:top w:val="single" w:sz="8" w:space="0" w:color="D4D4D4"/>
              <w:left w:val="nil"/>
              <w:bottom w:val="single" w:sz="12" w:space="0" w:color="000000"/>
              <w:right w:val="nil"/>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nil"/>
              <w:left w:val="nil"/>
              <w:bottom w:val="single" w:sz="12" w:space="0" w:color="000000"/>
              <w:right w:val="nil"/>
            </w:tcBorders>
            <w:shd w:val="clear" w:color="auto" w:fill="E5E383"/>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6</w:t>
            </w:r>
          </w:p>
        </w:tc>
        <w:tc>
          <w:tcPr>
            <w:tcW w:w="440" w:type="dxa"/>
            <w:tcBorders>
              <w:top w:val="nil"/>
              <w:left w:val="nil"/>
              <w:bottom w:val="single" w:sz="12" w:space="0" w:color="000000"/>
              <w:right w:val="nil"/>
            </w:tcBorders>
            <w:shd w:val="clear" w:color="auto" w:fill="97CD7D"/>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3</w:t>
            </w:r>
          </w:p>
        </w:tc>
        <w:tc>
          <w:tcPr>
            <w:tcW w:w="520" w:type="dxa"/>
            <w:tcBorders>
              <w:top w:val="nil"/>
              <w:left w:val="nil"/>
              <w:bottom w:val="single" w:sz="12" w:space="0" w:color="000000"/>
              <w:right w:val="nil"/>
            </w:tcBorders>
            <w:shd w:val="clear" w:color="auto" w:fill="FFEB85"/>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w:t>
            </w:r>
          </w:p>
        </w:tc>
        <w:tc>
          <w:tcPr>
            <w:tcW w:w="500" w:type="dxa"/>
            <w:tcBorders>
              <w:top w:val="single" w:sz="8" w:space="0" w:color="D4D4D4"/>
              <w:left w:val="nil"/>
              <w:bottom w:val="single" w:sz="12" w:space="0" w:color="000000"/>
              <w:right w:val="single" w:sz="12" w:space="0" w:color="000000"/>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267</w:t>
            </w:r>
          </w:p>
        </w:tc>
      </w:tr>
      <w:tr w:rsidR="00E90263" w:rsidRPr="005B01B6" w:rsidTr="00E90263">
        <w:trPr>
          <w:trHeight w:val="372"/>
        </w:trPr>
        <w:tc>
          <w:tcPr>
            <w:tcW w:w="160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52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82</w:t>
            </w:r>
          </w:p>
        </w:tc>
        <w:tc>
          <w:tcPr>
            <w:tcW w:w="52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131</w:t>
            </w:r>
          </w:p>
        </w:tc>
        <w:tc>
          <w:tcPr>
            <w:tcW w:w="52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128</w:t>
            </w:r>
          </w:p>
        </w:tc>
        <w:tc>
          <w:tcPr>
            <w:tcW w:w="50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114</w:t>
            </w:r>
          </w:p>
        </w:tc>
        <w:tc>
          <w:tcPr>
            <w:tcW w:w="50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148</w:t>
            </w:r>
          </w:p>
        </w:tc>
        <w:tc>
          <w:tcPr>
            <w:tcW w:w="44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55</w:t>
            </w:r>
          </w:p>
        </w:tc>
        <w:tc>
          <w:tcPr>
            <w:tcW w:w="44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 </w:t>
            </w:r>
          </w:p>
        </w:tc>
        <w:tc>
          <w:tcPr>
            <w:tcW w:w="44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40</w:t>
            </w:r>
          </w:p>
        </w:tc>
        <w:tc>
          <w:tcPr>
            <w:tcW w:w="44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28</w:t>
            </w:r>
          </w:p>
        </w:tc>
        <w:tc>
          <w:tcPr>
            <w:tcW w:w="52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48</w:t>
            </w:r>
          </w:p>
        </w:tc>
        <w:tc>
          <w:tcPr>
            <w:tcW w:w="500" w:type="dxa"/>
            <w:tcBorders>
              <w:top w:val="single" w:sz="12" w:space="0" w:color="000000"/>
              <w:left w:val="single" w:sz="8" w:space="0" w:color="D4D4D4"/>
              <w:bottom w:val="single" w:sz="8" w:space="0" w:color="D4D4D4"/>
              <w:right w:val="single" w:sz="8" w:space="0" w:color="D4D4D4"/>
            </w:tcBorders>
            <w:shd w:val="clear" w:color="auto" w:fill="auto"/>
            <w:tcMar>
              <w:top w:w="12" w:type="dxa"/>
              <w:left w:w="12" w:type="dxa"/>
              <w:bottom w:w="0" w:type="dxa"/>
              <w:right w:w="12" w:type="dxa"/>
            </w:tcMar>
            <w:vAlign w:val="center"/>
            <w:hideMark/>
          </w:tcPr>
          <w:p w:rsidR="00E90263" w:rsidRPr="005B01B6" w:rsidRDefault="00E90263" w:rsidP="00E90263">
            <w:pPr>
              <w:spacing w:after="0" w:line="200" w:lineRule="exact"/>
              <w:rPr>
                <w:sz w:val="20"/>
                <w:szCs w:val="20"/>
              </w:rPr>
            </w:pPr>
            <w:r w:rsidRPr="005B01B6">
              <w:rPr>
                <w:sz w:val="20"/>
                <w:szCs w:val="20"/>
              </w:rPr>
              <w:t>774</w:t>
            </w:r>
          </w:p>
        </w:tc>
      </w:tr>
    </w:tbl>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rPr>
      </w:pPr>
    </w:p>
    <w:p w:rsidR="006E1F5B" w:rsidRPr="002733AB" w:rsidRDefault="006E1F5B" w:rsidP="00B3153F">
      <w:pPr>
        <w:tabs>
          <w:tab w:val="left" w:pos="1828"/>
        </w:tabs>
        <w:ind w:left="567"/>
        <w:rPr>
          <w:rFonts w:ascii="Arial" w:eastAsia="Arial" w:hAnsi="Arial" w:cs="Arial"/>
        </w:rPr>
      </w:pPr>
    </w:p>
    <w:p w:rsidR="006E1F5B" w:rsidRDefault="006E1F5B" w:rsidP="00B3153F">
      <w:pPr>
        <w:tabs>
          <w:tab w:val="left" w:pos="1828"/>
        </w:tabs>
        <w:ind w:left="567"/>
        <w:rPr>
          <w:rFonts w:ascii="Arial" w:eastAsia="Arial" w:hAnsi="Arial" w:cs="Arial"/>
          <w:b/>
        </w:rPr>
      </w:pPr>
    </w:p>
    <w:p w:rsidR="00E90263" w:rsidRDefault="00E90263" w:rsidP="00B3153F">
      <w:pPr>
        <w:tabs>
          <w:tab w:val="left" w:pos="1828"/>
        </w:tabs>
        <w:ind w:left="567"/>
        <w:rPr>
          <w:rFonts w:ascii="Arial" w:eastAsia="Arial" w:hAnsi="Arial" w:cs="Arial"/>
          <w:b/>
        </w:rPr>
      </w:pPr>
    </w:p>
    <w:p w:rsidR="00B3153F" w:rsidRPr="002733AB" w:rsidRDefault="00B3153F" w:rsidP="00B3153F">
      <w:pPr>
        <w:tabs>
          <w:tab w:val="left" w:pos="1828"/>
        </w:tabs>
        <w:ind w:left="567"/>
        <w:rPr>
          <w:rFonts w:ascii="Arial" w:eastAsia="Arial" w:hAnsi="Arial" w:cs="Arial"/>
          <w:b/>
        </w:rPr>
      </w:pPr>
      <w:r w:rsidRPr="002733AB">
        <w:rPr>
          <w:rFonts w:ascii="Arial" w:eastAsia="Arial" w:hAnsi="Arial" w:cs="Arial"/>
          <w:b/>
        </w:rPr>
        <w:t>Figure 2: Distribution of NTE</w:t>
      </w:r>
      <w:r w:rsidRPr="002733AB">
        <w:rPr>
          <w:rFonts w:ascii="Cambria Math" w:eastAsia="Arial" w:hAnsi="Cambria Math" w:cs="Cambria Math"/>
          <w:b/>
        </w:rPr>
        <w:t>‐</w:t>
      </w:r>
      <w:r w:rsidRPr="002733AB">
        <w:rPr>
          <w:rFonts w:ascii="Arial" w:eastAsia="Arial" w:hAnsi="Arial" w:cs="Arial"/>
          <w:b/>
        </w:rPr>
        <w:t>related hospitalisations to John Radcliffe A&amp;E by time and day of week</w:t>
      </w:r>
    </w:p>
    <w:p w:rsidR="00B3153F" w:rsidRDefault="00B3153F" w:rsidP="00B3153F">
      <w:pPr>
        <w:tabs>
          <w:tab w:val="left" w:pos="1828"/>
        </w:tabs>
        <w:ind w:left="567"/>
        <w:rPr>
          <w:rFonts w:ascii="Arial" w:eastAsia="Arial" w:hAnsi="Arial" w:cs="Arial"/>
          <w:sz w:val="28"/>
          <w:szCs w:val="28"/>
        </w:rPr>
      </w:pPr>
      <w:r w:rsidRPr="002733AB">
        <w:rPr>
          <w:rFonts w:ascii="Arial" w:eastAsia="Arial" w:hAnsi="Arial" w:cs="Arial"/>
        </w:rPr>
        <w:t>Shows the distribution of admissions to the Accident &amp; Emergency department of the John Radcliffe hospital between August 2017 and August 2020 which were classified as Apparent Assaults in which alcohol was believed to be a factor. The distribution largely mirrors the conclusion drawn from analysis of the temporal distribution of NTE</w:t>
      </w:r>
      <w:r w:rsidRPr="002733AB">
        <w:rPr>
          <w:rFonts w:ascii="Cambria Math" w:eastAsia="Arial" w:hAnsi="Cambria Math" w:cs="Cambria Math"/>
        </w:rPr>
        <w:t>‐</w:t>
      </w:r>
      <w:r w:rsidRPr="002733AB">
        <w:rPr>
          <w:rFonts w:ascii="Arial" w:eastAsia="Arial" w:hAnsi="Arial" w:cs="Arial"/>
        </w:rPr>
        <w:t>linked occurrences in Oxford, with an even greater</w:t>
      </w:r>
      <w:r w:rsidRPr="005B01B6">
        <w:rPr>
          <w:rFonts w:ascii="Arial" w:eastAsia="Arial" w:hAnsi="Arial" w:cs="Arial"/>
          <w:sz w:val="28"/>
          <w:szCs w:val="28"/>
        </w:rPr>
        <w:t xml:space="preserve"> </w:t>
      </w:r>
      <w:r w:rsidRPr="002733AB">
        <w:rPr>
          <w:rFonts w:ascii="Arial" w:eastAsia="Arial" w:hAnsi="Arial" w:cs="Arial"/>
        </w:rPr>
        <w:t>focus on the early hours of Sunday morning (and to a lesser extent of Saturday morning).</w:t>
      </w:r>
    </w:p>
    <w:p w:rsidR="00B3153F" w:rsidRPr="002733AB" w:rsidRDefault="00B3153F" w:rsidP="00B3153F">
      <w:pPr>
        <w:pStyle w:val="ListParagraph"/>
        <w:widowControl w:val="0"/>
        <w:numPr>
          <w:ilvl w:val="0"/>
          <w:numId w:val="10"/>
        </w:numPr>
        <w:spacing w:after="0" w:line="200" w:lineRule="exact"/>
        <w:rPr>
          <w:rFonts w:ascii="Arial" w:hAnsi="Arial" w:cs="Arial"/>
          <w:b/>
          <w:szCs w:val="20"/>
        </w:rPr>
      </w:pPr>
      <w:r w:rsidRPr="002733AB">
        <w:rPr>
          <w:rFonts w:ascii="Arial" w:hAnsi="Arial" w:cs="Arial"/>
          <w:b/>
          <w:szCs w:val="20"/>
        </w:rPr>
        <w:t>Police Analysis of Violent Crime in the NTE: Seasonality</w:t>
      </w:r>
    </w:p>
    <w:p w:rsidR="00B3153F" w:rsidRDefault="00B3153F" w:rsidP="00B3153F">
      <w:pPr>
        <w:spacing w:after="0" w:line="200" w:lineRule="exact"/>
        <w:ind w:left="709"/>
        <w:rPr>
          <w:rFonts w:ascii="Arial" w:hAnsi="Arial" w:cs="Arial"/>
          <w:sz w:val="20"/>
          <w:szCs w:val="20"/>
        </w:rPr>
      </w:pPr>
    </w:p>
    <w:p w:rsidR="00B3153F" w:rsidRPr="00E90263" w:rsidRDefault="00B3153F" w:rsidP="00E90263">
      <w:pPr>
        <w:tabs>
          <w:tab w:val="left" w:pos="1828"/>
        </w:tabs>
        <w:ind w:left="567"/>
        <w:rPr>
          <w:rFonts w:ascii="Arial" w:eastAsia="Arial" w:hAnsi="Arial" w:cs="Arial"/>
        </w:rPr>
      </w:pPr>
      <w:r w:rsidRPr="00E90263">
        <w:rPr>
          <w:rFonts w:ascii="Arial" w:eastAsia="Arial" w:hAnsi="Arial" w:cs="Arial"/>
        </w:rPr>
        <w:t>The count of NTE</w:t>
      </w:r>
      <w:r w:rsidRPr="00E90263">
        <w:rPr>
          <w:rFonts w:ascii="Cambria Math" w:eastAsia="Arial" w:hAnsi="Cambria Math" w:cs="Cambria Math"/>
        </w:rPr>
        <w:t>‐</w:t>
      </w:r>
      <w:r w:rsidRPr="00E90263">
        <w:rPr>
          <w:rFonts w:ascii="Arial" w:eastAsia="Arial" w:hAnsi="Arial" w:cs="Arial"/>
        </w:rPr>
        <w:t>linked occurrences taking place in each month of 2017, 2018, and 2019 is illustrated below. The chart does not suggest any great degree of predictable seasonality, although it appears that occurrence counts in November and December may be particularly high. These monthly counts were then compared to the expected level (based on the 12 month centred moving average) to determine whether any months appeared to have occurrence counts consistently above the expected count.</w:t>
      </w:r>
    </w:p>
    <w:p w:rsidR="00B3153F" w:rsidRDefault="00B3153F" w:rsidP="00B3153F">
      <w:pPr>
        <w:spacing w:after="0" w:line="200" w:lineRule="exact"/>
        <w:rPr>
          <w:rFonts w:ascii="Arial" w:hAnsi="Arial" w:cs="Arial"/>
          <w:sz w:val="20"/>
          <w:szCs w:val="20"/>
        </w:rPr>
      </w:pPr>
    </w:p>
    <w:p w:rsidR="00B3153F" w:rsidRDefault="00B3153F" w:rsidP="00B3153F">
      <w:pPr>
        <w:spacing w:after="0" w:line="200" w:lineRule="exact"/>
        <w:rPr>
          <w:rFonts w:ascii="Arial" w:hAnsi="Arial" w:cs="Arial"/>
          <w:sz w:val="20"/>
          <w:szCs w:val="20"/>
        </w:rPr>
      </w:pPr>
    </w:p>
    <w:p w:rsidR="00B3153F" w:rsidRDefault="00B3153F" w:rsidP="00B3153F">
      <w:pPr>
        <w:spacing w:after="0" w:line="200" w:lineRule="exact"/>
        <w:rPr>
          <w:rFonts w:ascii="Arial" w:hAnsi="Arial" w:cs="Arial"/>
          <w:sz w:val="20"/>
          <w:szCs w:val="20"/>
        </w:rPr>
      </w:pPr>
    </w:p>
    <w:p w:rsidR="00B3153F" w:rsidRDefault="00B3153F" w:rsidP="00B3153F">
      <w:pPr>
        <w:spacing w:after="0" w:line="200" w:lineRule="exact"/>
        <w:rPr>
          <w:rFonts w:ascii="Arial" w:hAnsi="Arial" w:cs="Arial"/>
          <w:sz w:val="20"/>
          <w:szCs w:val="20"/>
        </w:rPr>
      </w:pPr>
      <w:r w:rsidRPr="00363F08">
        <w:rPr>
          <w:rFonts w:ascii="Arial" w:hAnsi="Arial" w:cs="Arial"/>
          <w:noProof/>
          <w:sz w:val="20"/>
          <w:szCs w:val="20"/>
          <w:lang w:eastAsia="en-GB"/>
        </w:rPr>
        <w:drawing>
          <wp:anchor distT="0" distB="0" distL="114300" distR="114300" simplePos="0" relativeHeight="251668480" behindDoc="0" locked="0" layoutInCell="1" allowOverlap="1" wp14:anchorId="2D53220E" wp14:editId="694E4043">
            <wp:simplePos x="0" y="0"/>
            <wp:positionH relativeFrom="margin">
              <wp:posOffset>4841847</wp:posOffset>
            </wp:positionH>
            <wp:positionV relativeFrom="paragraph">
              <wp:posOffset>6985</wp:posOffset>
            </wp:positionV>
            <wp:extent cx="1602740" cy="2496185"/>
            <wp:effectExtent l="0" t="0" r="0" b="0"/>
            <wp:wrapNone/>
            <wp:docPr id="140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0"/>
                    <a:stretch>
                      <a:fillRect/>
                    </a:stretch>
                  </pic:blipFill>
                  <pic:spPr>
                    <a:xfrm>
                      <a:off x="0" y="0"/>
                      <a:ext cx="1602740" cy="2496185"/>
                    </a:xfrm>
                    <a:prstGeom prst="rect">
                      <a:avLst/>
                    </a:prstGeom>
                  </pic:spPr>
                </pic:pic>
              </a:graphicData>
            </a:graphic>
            <wp14:sizeRelH relativeFrom="margin">
              <wp14:pctWidth>0</wp14:pctWidth>
            </wp14:sizeRelH>
            <wp14:sizeRelV relativeFrom="margin">
              <wp14:pctHeight>0</wp14:pctHeight>
            </wp14:sizeRelV>
          </wp:anchor>
        </w:drawing>
      </w:r>
      <w:r w:rsidRPr="00363F08">
        <w:rPr>
          <w:rFonts w:ascii="Arial" w:hAnsi="Arial" w:cs="Arial"/>
          <w:noProof/>
          <w:sz w:val="20"/>
          <w:szCs w:val="20"/>
          <w:lang w:eastAsia="en-GB"/>
        </w:rPr>
        <w:drawing>
          <wp:anchor distT="0" distB="0" distL="114300" distR="114300" simplePos="0" relativeHeight="251667456" behindDoc="0" locked="0" layoutInCell="1" allowOverlap="1" wp14:anchorId="7A04279F" wp14:editId="0C710470">
            <wp:simplePos x="0" y="0"/>
            <wp:positionH relativeFrom="margin">
              <wp:posOffset>238429</wp:posOffset>
            </wp:positionH>
            <wp:positionV relativeFrom="paragraph">
              <wp:posOffset>7178</wp:posOffset>
            </wp:positionV>
            <wp:extent cx="4348539" cy="2425148"/>
            <wp:effectExtent l="0" t="0" r="0" b="0"/>
            <wp:wrapNone/>
            <wp:docPr id="1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48539" cy="2425148"/>
                    </a:xfrm>
                    <a:prstGeom prst="rect">
                      <a:avLst/>
                    </a:prstGeom>
                  </pic:spPr>
                </pic:pic>
              </a:graphicData>
            </a:graphic>
            <wp14:sizeRelH relativeFrom="margin">
              <wp14:pctWidth>0</wp14:pctWidth>
            </wp14:sizeRelH>
            <wp14:sizeRelV relativeFrom="margin">
              <wp14:pctHeight>0</wp14:pctHeight>
            </wp14:sizeRelV>
          </wp:anchor>
        </w:drawing>
      </w:r>
    </w:p>
    <w:p w:rsidR="00B3153F" w:rsidRDefault="00B3153F" w:rsidP="00B3153F">
      <w:pPr>
        <w:spacing w:after="0" w:line="200" w:lineRule="exact"/>
        <w:rPr>
          <w:rFonts w:ascii="Arial" w:hAnsi="Arial" w:cs="Arial"/>
          <w:sz w:val="20"/>
          <w:szCs w:val="20"/>
        </w:rPr>
      </w:pPr>
    </w:p>
    <w:p w:rsidR="00B3153F" w:rsidRDefault="00B3153F" w:rsidP="00B3153F">
      <w:pPr>
        <w:spacing w:after="0" w:line="200" w:lineRule="exact"/>
        <w:rPr>
          <w:rFonts w:ascii="Arial" w:hAnsi="Arial" w:cs="Arial"/>
          <w:sz w:val="20"/>
          <w:szCs w:val="20"/>
        </w:rPr>
      </w:pPr>
    </w:p>
    <w:p w:rsidR="00B3153F" w:rsidRDefault="00B3153F" w:rsidP="00B3153F">
      <w:pPr>
        <w:spacing w:after="0" w:line="200" w:lineRule="exact"/>
        <w:rPr>
          <w:rFonts w:ascii="Arial" w:hAnsi="Arial" w:cs="Arial"/>
          <w:sz w:val="20"/>
          <w:szCs w:val="20"/>
        </w:rPr>
      </w:pPr>
    </w:p>
    <w:p w:rsidR="00B3153F" w:rsidRPr="005B01B6" w:rsidRDefault="00B3153F" w:rsidP="00B3153F">
      <w:pPr>
        <w:spacing w:after="0" w:line="200" w:lineRule="exact"/>
        <w:rPr>
          <w:rFonts w:ascii="Arial" w:hAnsi="Arial" w:cs="Arial"/>
          <w:sz w:val="20"/>
          <w:szCs w:val="20"/>
        </w:rPr>
      </w:pPr>
    </w:p>
    <w:p w:rsidR="00B3153F" w:rsidRDefault="00B3153F" w:rsidP="00B3153F">
      <w:pPr>
        <w:spacing w:after="0" w:line="200" w:lineRule="exact"/>
        <w:rPr>
          <w:sz w:val="20"/>
          <w:szCs w:val="20"/>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ind w:left="709"/>
        <w:rPr>
          <w:rFonts w:ascii="Arial" w:hAnsi="Arial" w:cs="Arial"/>
        </w:rPr>
      </w:pPr>
      <w:r w:rsidRPr="002733AB">
        <w:rPr>
          <w:rFonts w:ascii="Arial" w:hAnsi="Arial" w:cs="Arial"/>
        </w:rPr>
        <w:t>This analysis accounts for changing trends (2017 saw a steadily rising number of monthly occurrence counts, leading to consistently higher levels in 2018). It clearly shows that December NTE</w:t>
      </w:r>
      <w:r w:rsidRPr="002733AB">
        <w:rPr>
          <w:rFonts w:ascii="Cambria Math" w:hAnsi="Cambria Math" w:cs="Cambria Math"/>
        </w:rPr>
        <w:t>‐</w:t>
      </w:r>
      <w:r w:rsidRPr="002733AB">
        <w:rPr>
          <w:rFonts w:ascii="Arial" w:hAnsi="Arial" w:cs="Arial"/>
        </w:rPr>
        <w:t>linked occurrence counts were higher than expected in every year from 2017 to 2019, and that January occurrence counts were lower than expected in every year. April and August were also consistently lower than expected, albeit to a lesser extent than January, and November was also associated with marginally higher than expected NTE occurrence counts.</w:t>
      </w:r>
    </w:p>
    <w:p w:rsidR="00BC7D54" w:rsidRDefault="00BC7D54" w:rsidP="00B3153F">
      <w:pPr>
        <w:spacing w:before="9" w:after="0" w:line="280" w:lineRule="exact"/>
        <w:ind w:left="709"/>
        <w:rPr>
          <w:rFonts w:ascii="Arial" w:hAnsi="Arial" w:cs="Arial"/>
        </w:rPr>
      </w:pPr>
    </w:p>
    <w:p w:rsidR="00B3153F" w:rsidRPr="00E90263" w:rsidRDefault="00B3153F" w:rsidP="00E90263">
      <w:pPr>
        <w:pStyle w:val="ListParagraph"/>
        <w:widowControl w:val="0"/>
        <w:numPr>
          <w:ilvl w:val="0"/>
          <w:numId w:val="10"/>
        </w:numPr>
        <w:spacing w:after="0" w:line="200" w:lineRule="exact"/>
        <w:rPr>
          <w:rFonts w:ascii="Arial" w:hAnsi="Arial" w:cs="Arial"/>
          <w:b/>
          <w:szCs w:val="20"/>
        </w:rPr>
      </w:pPr>
      <w:r w:rsidRPr="00E90263">
        <w:rPr>
          <w:rFonts w:ascii="Arial" w:hAnsi="Arial" w:cs="Arial"/>
          <w:b/>
          <w:szCs w:val="20"/>
        </w:rPr>
        <w:t>Police Analysis of Violent Crime in the NTE: Geographic distribution</w:t>
      </w:r>
    </w:p>
    <w:p w:rsidR="00B3153F" w:rsidRPr="007D7887" w:rsidRDefault="00B3153F" w:rsidP="00B3153F">
      <w:pPr>
        <w:spacing w:before="9" w:after="0" w:line="280" w:lineRule="exact"/>
        <w:ind w:left="720"/>
        <w:rPr>
          <w:rFonts w:ascii="Arial" w:hAnsi="Arial" w:cs="Arial"/>
        </w:rPr>
      </w:pPr>
    </w:p>
    <w:p w:rsidR="00B3153F" w:rsidRPr="007D7887" w:rsidRDefault="00B3153F" w:rsidP="00BC7D54">
      <w:pPr>
        <w:spacing w:before="9" w:after="0" w:line="280" w:lineRule="exact"/>
        <w:ind w:left="709"/>
        <w:rPr>
          <w:rFonts w:ascii="Arial" w:hAnsi="Arial" w:cs="Arial"/>
        </w:rPr>
      </w:pPr>
      <w:r w:rsidRPr="007D7887">
        <w:rPr>
          <w:rFonts w:ascii="Arial" w:hAnsi="Arial" w:cs="Arial"/>
        </w:rPr>
        <w:t>The following heat maps show locations of NTE occurrences in Oxford, using a 100m x 100m grid overlaid on a map of the police area with the count of occurrences recorded as taking place within each grid square being indicated by the colour of the square.</w:t>
      </w:r>
    </w:p>
    <w:p w:rsidR="00B3153F" w:rsidRPr="007D7887" w:rsidRDefault="00B3153F" w:rsidP="00BC7D54">
      <w:pPr>
        <w:spacing w:before="9" w:after="0" w:line="280" w:lineRule="exact"/>
        <w:ind w:left="709"/>
        <w:rPr>
          <w:rFonts w:ascii="Arial" w:hAnsi="Arial" w:cs="Arial"/>
        </w:rPr>
      </w:pPr>
      <w:r w:rsidRPr="007D7887">
        <w:rPr>
          <w:rFonts w:ascii="Arial" w:hAnsi="Arial" w:cs="Arial"/>
        </w:rPr>
        <w:t xml:space="preserve">The map clearly indicates that the most notable areas in which NTE occurrences have taken place are: the city centre area focused on Park End Street, Hythe Bridge Street and Cornmarket; Magdalen roundabout, the </w:t>
      </w:r>
      <w:proofErr w:type="spellStart"/>
      <w:r w:rsidRPr="007D7887">
        <w:rPr>
          <w:rFonts w:ascii="Arial" w:hAnsi="Arial" w:cs="Arial"/>
        </w:rPr>
        <w:t>Cowley</w:t>
      </w:r>
      <w:proofErr w:type="spellEnd"/>
      <w:r w:rsidRPr="007D7887">
        <w:rPr>
          <w:rFonts w:ascii="Arial" w:hAnsi="Arial" w:cs="Arial"/>
        </w:rPr>
        <w:t xml:space="preserve"> Road between Union Street and East Avenue (O2 Academy and </w:t>
      </w:r>
      <w:proofErr w:type="spellStart"/>
      <w:r w:rsidRPr="007D7887">
        <w:rPr>
          <w:rFonts w:ascii="Arial" w:hAnsi="Arial" w:cs="Arial"/>
        </w:rPr>
        <w:t>Cowley</w:t>
      </w:r>
      <w:proofErr w:type="spellEnd"/>
      <w:r w:rsidRPr="007D7887">
        <w:rPr>
          <w:rFonts w:ascii="Arial" w:hAnsi="Arial" w:cs="Arial"/>
        </w:rPr>
        <w:t xml:space="preserve"> Retreat area); the A&amp;E department of the John Radcliffe Hospital; and the Littlemore Mental Health Centre. It is possible (although not confirmed) that the hospital events may include occurrences that took place elsewhere and were reported from the hospital location.</w:t>
      </w:r>
    </w:p>
    <w:p w:rsidR="00B3153F" w:rsidRPr="00BC7D54" w:rsidRDefault="00B3153F" w:rsidP="00BC7D54">
      <w:pPr>
        <w:spacing w:before="9" w:after="0" w:line="280" w:lineRule="exact"/>
        <w:ind w:left="709"/>
        <w:rPr>
          <w:rFonts w:ascii="Arial" w:hAnsi="Arial" w:cs="Arial"/>
        </w:rPr>
      </w:pPr>
    </w:p>
    <w:p w:rsidR="00B3153F" w:rsidRDefault="00BC7D54" w:rsidP="00B3153F">
      <w:pPr>
        <w:spacing w:before="9" w:after="0" w:line="280" w:lineRule="exact"/>
        <w:rPr>
          <w:sz w:val="28"/>
          <w:szCs w:val="28"/>
        </w:rPr>
      </w:pPr>
      <w:r>
        <w:rPr>
          <w:noProof/>
          <w:lang w:eastAsia="en-GB"/>
        </w:rPr>
        <w:drawing>
          <wp:anchor distT="0" distB="0" distL="114300" distR="114300" simplePos="0" relativeHeight="251669504" behindDoc="0" locked="0" layoutInCell="1" allowOverlap="1" wp14:anchorId="66C3F1F6" wp14:editId="062649D4">
            <wp:simplePos x="0" y="0"/>
            <wp:positionH relativeFrom="margin">
              <wp:align>center</wp:align>
            </wp:positionH>
            <wp:positionV relativeFrom="paragraph">
              <wp:posOffset>19685</wp:posOffset>
            </wp:positionV>
            <wp:extent cx="5136515" cy="4897755"/>
            <wp:effectExtent l="0" t="0" r="6985" b="0"/>
            <wp:wrapNone/>
            <wp:docPr id="189"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6515" cy="4897755"/>
                    </a:xfrm>
                    <a:prstGeom prst="rect">
                      <a:avLst/>
                    </a:prstGeom>
                  </pic:spPr>
                </pic:pic>
              </a:graphicData>
            </a:graphic>
            <wp14:sizeRelH relativeFrom="page">
              <wp14:pctWidth>0</wp14:pctWidth>
            </wp14:sizeRelH>
            <wp14:sizeRelV relativeFrom="page">
              <wp14:pctHeight>0</wp14:pctHeight>
            </wp14:sizeRelV>
          </wp:anchor>
        </w:drawing>
      </w: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C7D54" w:rsidRDefault="00BC7D54" w:rsidP="00B3153F">
      <w:pPr>
        <w:spacing w:before="9" w:after="0" w:line="280" w:lineRule="exact"/>
        <w:rPr>
          <w:sz w:val="28"/>
          <w:szCs w:val="28"/>
        </w:rPr>
      </w:pPr>
    </w:p>
    <w:p w:rsidR="00BC7D54" w:rsidRDefault="00BC7D54" w:rsidP="00B3153F">
      <w:pPr>
        <w:spacing w:before="9" w:after="0" w:line="280" w:lineRule="exact"/>
        <w:rPr>
          <w:sz w:val="28"/>
          <w:szCs w:val="28"/>
        </w:rPr>
      </w:pPr>
    </w:p>
    <w:p w:rsidR="00BC7D54" w:rsidRDefault="00BC7D54" w:rsidP="00B3153F">
      <w:pPr>
        <w:spacing w:before="9" w:after="0" w:line="280" w:lineRule="exact"/>
        <w:rPr>
          <w:sz w:val="28"/>
          <w:szCs w:val="28"/>
        </w:rPr>
      </w:pPr>
    </w:p>
    <w:p w:rsidR="00BC7D54" w:rsidRDefault="00BC7D54" w:rsidP="00B3153F">
      <w:pPr>
        <w:spacing w:before="9" w:after="0" w:line="280" w:lineRule="exact"/>
        <w:rPr>
          <w:sz w:val="28"/>
          <w:szCs w:val="28"/>
        </w:rPr>
      </w:pPr>
    </w:p>
    <w:p w:rsidR="00BC7D54" w:rsidRDefault="00BC7D54" w:rsidP="00B3153F">
      <w:pPr>
        <w:spacing w:before="9" w:after="0" w:line="280" w:lineRule="exact"/>
        <w:rPr>
          <w:sz w:val="28"/>
          <w:szCs w:val="28"/>
        </w:rPr>
      </w:pPr>
    </w:p>
    <w:p w:rsidR="00BC7D54" w:rsidRDefault="00BC7D54" w:rsidP="00B3153F">
      <w:pPr>
        <w:spacing w:before="9" w:after="0" w:line="280" w:lineRule="exact"/>
        <w:rPr>
          <w:sz w:val="28"/>
          <w:szCs w:val="28"/>
        </w:rPr>
      </w:pPr>
    </w:p>
    <w:p w:rsidR="00BC7D54" w:rsidRDefault="00BC7D54"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Pr="007D7887" w:rsidRDefault="00B3153F" w:rsidP="00B3153F">
      <w:pPr>
        <w:pStyle w:val="ListParagraph"/>
        <w:widowControl w:val="0"/>
        <w:numPr>
          <w:ilvl w:val="0"/>
          <w:numId w:val="10"/>
        </w:numPr>
        <w:spacing w:before="9" w:after="0" w:line="280" w:lineRule="exact"/>
        <w:ind w:left="993"/>
        <w:rPr>
          <w:rFonts w:ascii="Arial" w:hAnsi="Arial" w:cs="Arial"/>
          <w:b/>
        </w:rPr>
      </w:pPr>
      <w:r w:rsidRPr="007D7887">
        <w:rPr>
          <w:rFonts w:ascii="Arial" w:hAnsi="Arial" w:cs="Arial"/>
          <w:b/>
        </w:rPr>
        <w:t xml:space="preserve"> Police Analysis of Violent Crime in the NTE: Geographic distribution</w:t>
      </w:r>
    </w:p>
    <w:p w:rsidR="00B3153F" w:rsidRPr="007D7887" w:rsidRDefault="00B3153F" w:rsidP="00B3153F">
      <w:pPr>
        <w:spacing w:before="9" w:after="0" w:line="280" w:lineRule="exact"/>
        <w:ind w:left="993"/>
        <w:rPr>
          <w:rFonts w:ascii="Arial" w:hAnsi="Arial" w:cs="Arial"/>
        </w:rPr>
      </w:pPr>
    </w:p>
    <w:p w:rsidR="00B3153F" w:rsidRPr="007D7887" w:rsidRDefault="00B3153F" w:rsidP="00B3153F">
      <w:pPr>
        <w:spacing w:before="9" w:after="0" w:line="280" w:lineRule="exact"/>
        <w:ind w:left="993"/>
        <w:rPr>
          <w:rFonts w:ascii="Arial" w:hAnsi="Arial" w:cs="Arial"/>
        </w:rPr>
      </w:pPr>
      <w:r w:rsidRPr="007D7887">
        <w:rPr>
          <w:rFonts w:ascii="Arial" w:hAnsi="Arial" w:cs="Arial"/>
        </w:rPr>
        <w:t>Serious violence offences.</w:t>
      </w:r>
    </w:p>
    <w:p w:rsidR="00B3153F" w:rsidRPr="007D7887" w:rsidRDefault="00B3153F" w:rsidP="00B3153F">
      <w:pPr>
        <w:spacing w:before="9" w:after="0" w:line="280" w:lineRule="exact"/>
        <w:ind w:left="993"/>
        <w:rPr>
          <w:rFonts w:ascii="Arial" w:hAnsi="Arial" w:cs="Arial"/>
        </w:rPr>
      </w:pPr>
      <w:r w:rsidRPr="007D7887">
        <w:rPr>
          <w:rFonts w:ascii="Arial" w:hAnsi="Arial" w:cs="Arial"/>
        </w:rPr>
        <w:t>Serious violence in Oxford’s NTE appears to be highly focused in city centre areas, in particular: Queen Street / Cornmarket Street and Park End Street / Hythe Bridge Street.</w:t>
      </w:r>
    </w:p>
    <w:p w:rsidR="00B3153F" w:rsidRDefault="00B3153F" w:rsidP="00B3153F">
      <w:pPr>
        <w:spacing w:before="9" w:after="0" w:line="280" w:lineRule="exact"/>
        <w:rPr>
          <w:sz w:val="28"/>
          <w:szCs w:val="28"/>
        </w:rPr>
      </w:pPr>
    </w:p>
    <w:p w:rsidR="006E1F5B" w:rsidRDefault="006E1F5B" w:rsidP="00B3153F">
      <w:pPr>
        <w:spacing w:before="9" w:after="0" w:line="280" w:lineRule="exact"/>
        <w:rPr>
          <w:sz w:val="28"/>
          <w:szCs w:val="28"/>
        </w:rPr>
      </w:pPr>
    </w:p>
    <w:p w:rsidR="006E1F5B" w:rsidRDefault="006E1F5B" w:rsidP="00B3153F">
      <w:pPr>
        <w:spacing w:before="9" w:after="0" w:line="280" w:lineRule="exact"/>
        <w:rPr>
          <w:sz w:val="28"/>
          <w:szCs w:val="28"/>
        </w:rPr>
      </w:pPr>
    </w:p>
    <w:p w:rsidR="006E1F5B" w:rsidRDefault="006E1F5B"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Pr="00363F08"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C7D54" w:rsidP="00B3153F">
      <w:pPr>
        <w:spacing w:before="9" w:after="0" w:line="280" w:lineRule="exact"/>
        <w:rPr>
          <w:sz w:val="28"/>
          <w:szCs w:val="28"/>
        </w:rPr>
      </w:pPr>
      <w:r>
        <w:rPr>
          <w:noProof/>
          <w:lang w:eastAsia="en-GB"/>
        </w:rPr>
        <w:drawing>
          <wp:anchor distT="0" distB="0" distL="114300" distR="114300" simplePos="0" relativeHeight="251670528" behindDoc="0" locked="0" layoutInCell="1" allowOverlap="1" wp14:anchorId="05EB0D3B" wp14:editId="2567414A">
            <wp:simplePos x="0" y="0"/>
            <wp:positionH relativeFrom="margin">
              <wp:align>center</wp:align>
            </wp:positionH>
            <wp:positionV relativeFrom="margin">
              <wp:posOffset>381000</wp:posOffset>
            </wp:positionV>
            <wp:extent cx="4669549" cy="5294656"/>
            <wp:effectExtent l="0" t="0" r="0" b="1270"/>
            <wp:wrapNone/>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9549" cy="5294656"/>
                    </a:xfrm>
                    <a:prstGeom prst="rect">
                      <a:avLst/>
                    </a:prstGeom>
                  </pic:spPr>
                </pic:pic>
              </a:graphicData>
            </a:graphic>
            <wp14:sizeRelH relativeFrom="page">
              <wp14:pctWidth>0</wp14:pctWidth>
            </wp14:sizeRelH>
            <wp14:sizeRelV relativeFrom="page">
              <wp14:pctHeight>0</wp14:pctHeight>
            </wp14:sizeRelV>
          </wp:anchor>
        </w:drawing>
      </w: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AD40C4" w:rsidRDefault="00AD40C4" w:rsidP="00B3153F">
      <w:pPr>
        <w:spacing w:before="9" w:after="0" w:line="280" w:lineRule="exact"/>
        <w:rPr>
          <w:sz w:val="28"/>
          <w:szCs w:val="28"/>
        </w:rPr>
      </w:pPr>
    </w:p>
    <w:p w:rsidR="00AD40C4" w:rsidRDefault="00AD40C4" w:rsidP="00B3153F">
      <w:pPr>
        <w:spacing w:before="9" w:after="0" w:line="280" w:lineRule="exact"/>
        <w:rPr>
          <w:sz w:val="28"/>
          <w:szCs w:val="28"/>
        </w:rPr>
      </w:pPr>
    </w:p>
    <w:p w:rsidR="00AD40C4" w:rsidRDefault="00AD40C4" w:rsidP="00B3153F">
      <w:pPr>
        <w:spacing w:before="9" w:after="0" w:line="280" w:lineRule="exact"/>
        <w:rPr>
          <w:sz w:val="28"/>
          <w:szCs w:val="28"/>
        </w:rPr>
      </w:pPr>
    </w:p>
    <w:p w:rsidR="00AD40C4" w:rsidRDefault="00AD40C4" w:rsidP="00B3153F">
      <w:pPr>
        <w:spacing w:before="9" w:after="0" w:line="280" w:lineRule="exact"/>
        <w:rPr>
          <w:sz w:val="28"/>
          <w:szCs w:val="28"/>
        </w:rPr>
      </w:pPr>
    </w:p>
    <w:p w:rsidR="00AD40C4" w:rsidRDefault="00AD40C4" w:rsidP="00B3153F">
      <w:pPr>
        <w:spacing w:before="9" w:after="0" w:line="280" w:lineRule="exact"/>
        <w:rPr>
          <w:sz w:val="28"/>
          <w:szCs w:val="28"/>
        </w:rPr>
      </w:pPr>
    </w:p>
    <w:p w:rsidR="00AD40C4" w:rsidRDefault="00AD40C4" w:rsidP="00B3153F">
      <w:pPr>
        <w:spacing w:before="9" w:after="0" w:line="280" w:lineRule="exact"/>
        <w:rPr>
          <w:sz w:val="28"/>
          <w:szCs w:val="28"/>
        </w:rPr>
      </w:pPr>
    </w:p>
    <w:p w:rsidR="00AD40C4" w:rsidRDefault="00AD40C4" w:rsidP="00B3153F">
      <w:pPr>
        <w:spacing w:before="9" w:after="0" w:line="280" w:lineRule="exact"/>
        <w:rPr>
          <w:sz w:val="28"/>
          <w:szCs w:val="28"/>
        </w:rPr>
      </w:pPr>
    </w:p>
    <w:p w:rsidR="00B3153F" w:rsidRDefault="00AD40C4" w:rsidP="009B594A">
      <w:pPr>
        <w:pStyle w:val="ListParagraph"/>
        <w:widowControl w:val="0"/>
        <w:numPr>
          <w:ilvl w:val="0"/>
          <w:numId w:val="10"/>
        </w:numPr>
        <w:spacing w:before="9" w:after="0" w:line="280" w:lineRule="exact"/>
        <w:ind w:left="993"/>
        <w:rPr>
          <w:rFonts w:ascii="Arial" w:hAnsi="Arial" w:cs="Arial"/>
          <w:b/>
        </w:rPr>
      </w:pPr>
      <w:r>
        <w:rPr>
          <w:rFonts w:ascii="Arial" w:hAnsi="Arial" w:cs="Arial"/>
          <w:b/>
        </w:rPr>
        <w:t xml:space="preserve"> Public Health Data</w:t>
      </w:r>
    </w:p>
    <w:p w:rsidR="00AD40C4" w:rsidRDefault="00AD40C4" w:rsidP="00AD40C4">
      <w:pPr>
        <w:pStyle w:val="ListParagraph"/>
        <w:widowControl w:val="0"/>
        <w:spacing w:before="9" w:after="0" w:line="280" w:lineRule="exact"/>
        <w:ind w:left="993"/>
        <w:rPr>
          <w:rFonts w:ascii="Arial" w:hAnsi="Arial" w:cs="Arial"/>
          <w:b/>
        </w:rPr>
      </w:pPr>
    </w:p>
    <w:p w:rsidR="00AD40C4" w:rsidRDefault="00AD40C4" w:rsidP="008C7CBD">
      <w:pPr>
        <w:ind w:left="567" w:hanging="567"/>
      </w:pPr>
      <w:r>
        <w:t xml:space="preserve">          </w:t>
      </w:r>
      <w:r w:rsidRPr="008C7CBD">
        <w:rPr>
          <w:rFonts w:ascii="Arial" w:hAnsi="Arial" w:cs="Arial"/>
        </w:rPr>
        <w:t xml:space="preserve">  The table below shows the alcohol related hospital admissions and mortality rates </w:t>
      </w:r>
      <w:proofErr w:type="gramStart"/>
      <w:r w:rsidRPr="008C7CBD">
        <w:rPr>
          <w:rFonts w:ascii="Arial" w:hAnsi="Arial" w:cs="Arial"/>
        </w:rPr>
        <w:t xml:space="preserve">for </w:t>
      </w:r>
      <w:r w:rsidR="008C7CBD">
        <w:rPr>
          <w:rFonts w:ascii="Arial" w:hAnsi="Arial" w:cs="Arial"/>
        </w:rPr>
        <w:t xml:space="preserve"> </w:t>
      </w:r>
      <w:r w:rsidRPr="008C7CBD">
        <w:rPr>
          <w:rFonts w:ascii="Arial" w:hAnsi="Arial" w:cs="Arial"/>
        </w:rPr>
        <w:t>Oxford</w:t>
      </w:r>
      <w:proofErr w:type="gramEnd"/>
      <w:r w:rsidRPr="008C7CBD">
        <w:rPr>
          <w:rFonts w:ascii="Arial" w:hAnsi="Arial" w:cs="Arial"/>
        </w:rPr>
        <w:t>.</w:t>
      </w:r>
    </w:p>
    <w:p w:rsidR="00AD40C4" w:rsidRDefault="00AD40C4" w:rsidP="00AD40C4">
      <w:pPr>
        <w:rPr>
          <w:sz w:val="20"/>
          <w:szCs w:val="20"/>
        </w:rPr>
      </w:pPr>
    </w:p>
    <w:p w:rsidR="00AD40C4" w:rsidRDefault="00AD40C4" w:rsidP="00AD40C4">
      <w:pPr>
        <w:rPr>
          <w:sz w:val="20"/>
          <w:szCs w:val="20"/>
        </w:rPr>
      </w:pPr>
      <w:r>
        <w:rPr>
          <w:sz w:val="20"/>
          <w:szCs w:val="20"/>
        </w:rPr>
        <w:t xml:space="preserve">Compared to England: </w:t>
      </w:r>
      <w:r>
        <w:rPr>
          <w:color w:val="92D050"/>
          <w:sz w:val="20"/>
          <w:szCs w:val="20"/>
        </w:rPr>
        <w:sym w:font="Wingdings" w:char="F06E"/>
      </w:r>
      <w:r>
        <w:rPr>
          <w:sz w:val="20"/>
          <w:szCs w:val="20"/>
        </w:rPr>
        <w:t xml:space="preserve"> better </w:t>
      </w:r>
      <w:r>
        <w:rPr>
          <w:color w:val="FFC000"/>
          <w:sz w:val="20"/>
          <w:szCs w:val="20"/>
        </w:rPr>
        <w:sym w:font="Wingdings" w:char="F06E"/>
      </w:r>
      <w:r>
        <w:rPr>
          <w:sz w:val="20"/>
          <w:szCs w:val="20"/>
        </w:rPr>
        <w:t xml:space="preserve"> similar </w:t>
      </w:r>
      <w:r>
        <w:rPr>
          <w:color w:val="FF0000"/>
          <w:sz w:val="20"/>
          <w:szCs w:val="20"/>
        </w:rPr>
        <w:sym w:font="Wingdings" w:char="F06E"/>
      </w:r>
      <w:r>
        <w:rPr>
          <w:sz w:val="20"/>
          <w:szCs w:val="20"/>
        </w:rPr>
        <w:t xml:space="preserve"> worse</w:t>
      </w:r>
    </w:p>
    <w:tbl>
      <w:tblPr>
        <w:tblStyle w:val="TableGrid"/>
        <w:tblW w:w="0" w:type="auto"/>
        <w:tblInd w:w="0" w:type="dxa"/>
        <w:tblLook w:val="04A0" w:firstRow="1" w:lastRow="0" w:firstColumn="1" w:lastColumn="0" w:noHBand="0" w:noVBand="1"/>
      </w:tblPr>
      <w:tblGrid>
        <w:gridCol w:w="3397"/>
        <w:gridCol w:w="1276"/>
        <w:gridCol w:w="1276"/>
        <w:gridCol w:w="1577"/>
        <w:gridCol w:w="1276"/>
      </w:tblGrid>
      <w:tr w:rsidR="00AD40C4" w:rsidTr="00AD40C4">
        <w:tc>
          <w:tcPr>
            <w:tcW w:w="3397" w:type="dxa"/>
            <w:tcBorders>
              <w:top w:val="single" w:sz="4" w:space="0" w:color="auto"/>
              <w:left w:val="single" w:sz="4" w:space="0" w:color="auto"/>
              <w:bottom w:val="single" w:sz="4" w:space="0" w:color="auto"/>
              <w:right w:val="single" w:sz="4" w:space="0" w:color="auto"/>
            </w:tcBorders>
            <w:shd w:val="clear" w:color="auto" w:fill="70AD47" w:themeFill="accent6"/>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Indicator</w:t>
            </w:r>
          </w:p>
        </w:tc>
        <w:tc>
          <w:tcPr>
            <w:tcW w:w="1276" w:type="dxa"/>
            <w:tcBorders>
              <w:top w:val="single" w:sz="4" w:space="0" w:color="auto"/>
              <w:left w:val="single" w:sz="4" w:space="0" w:color="auto"/>
              <w:bottom w:val="single" w:sz="4" w:space="0" w:color="auto"/>
              <w:right w:val="single" w:sz="4" w:space="0" w:color="auto"/>
            </w:tcBorders>
            <w:shd w:val="clear" w:color="auto" w:fill="70AD47" w:themeFill="accent6"/>
            <w:hideMark/>
          </w:tcPr>
          <w:p w:rsidR="00AD40C4" w:rsidRDefault="00AD40C4">
            <w:pPr>
              <w:jc w:val="center"/>
              <w:rPr>
                <w:rFonts w:asciiTheme="minorHAnsi" w:hAnsiTheme="minorHAnsi" w:cstheme="minorHAnsi"/>
                <w:b/>
                <w:bCs/>
                <w:sz w:val="22"/>
                <w:szCs w:val="22"/>
              </w:rPr>
            </w:pPr>
            <w:r>
              <w:rPr>
                <w:rFonts w:asciiTheme="minorHAnsi" w:hAnsiTheme="minorHAnsi" w:cstheme="minorHAnsi"/>
                <w:b/>
                <w:bCs/>
                <w:sz w:val="22"/>
                <w:szCs w:val="22"/>
              </w:rPr>
              <w:t>Period</w:t>
            </w:r>
          </w:p>
        </w:tc>
        <w:tc>
          <w:tcPr>
            <w:tcW w:w="1276" w:type="dxa"/>
            <w:tcBorders>
              <w:top w:val="single" w:sz="4" w:space="0" w:color="auto"/>
              <w:left w:val="single" w:sz="4" w:space="0" w:color="auto"/>
              <w:bottom w:val="single" w:sz="4" w:space="0" w:color="auto"/>
              <w:right w:val="single" w:sz="4" w:space="0" w:color="auto"/>
            </w:tcBorders>
            <w:shd w:val="clear" w:color="auto" w:fill="70AD47" w:themeFill="accent6"/>
            <w:hideMark/>
          </w:tcPr>
          <w:p w:rsidR="00AD40C4" w:rsidRDefault="00AD40C4">
            <w:pPr>
              <w:jc w:val="center"/>
              <w:rPr>
                <w:rFonts w:asciiTheme="minorHAnsi" w:hAnsiTheme="minorHAnsi" w:cstheme="minorHAnsi"/>
                <w:b/>
                <w:bCs/>
                <w:sz w:val="22"/>
                <w:szCs w:val="22"/>
              </w:rPr>
            </w:pPr>
            <w:r>
              <w:rPr>
                <w:rFonts w:asciiTheme="minorHAnsi" w:hAnsiTheme="minorHAnsi" w:cstheme="minorHAnsi"/>
                <w:b/>
                <w:bCs/>
                <w:sz w:val="22"/>
                <w:szCs w:val="22"/>
              </w:rPr>
              <w:t>England</w:t>
            </w:r>
          </w:p>
        </w:tc>
        <w:tc>
          <w:tcPr>
            <w:tcW w:w="1577" w:type="dxa"/>
            <w:tcBorders>
              <w:top w:val="single" w:sz="4" w:space="0" w:color="auto"/>
              <w:left w:val="single" w:sz="4" w:space="0" w:color="auto"/>
              <w:bottom w:val="single" w:sz="4" w:space="0" w:color="auto"/>
              <w:right w:val="single" w:sz="4" w:space="0" w:color="auto"/>
            </w:tcBorders>
            <w:shd w:val="clear" w:color="auto" w:fill="70AD47" w:themeFill="accent6"/>
            <w:hideMark/>
          </w:tcPr>
          <w:p w:rsidR="00AD40C4" w:rsidRDefault="00AD40C4">
            <w:pPr>
              <w:jc w:val="center"/>
              <w:rPr>
                <w:rFonts w:asciiTheme="minorHAnsi" w:hAnsiTheme="minorHAnsi" w:cstheme="minorHAnsi"/>
                <w:b/>
                <w:bCs/>
                <w:sz w:val="22"/>
                <w:szCs w:val="22"/>
              </w:rPr>
            </w:pPr>
            <w:r>
              <w:rPr>
                <w:rFonts w:asciiTheme="minorHAnsi" w:hAnsiTheme="minorHAnsi" w:cstheme="minorHAnsi"/>
                <w:b/>
                <w:bCs/>
                <w:sz w:val="22"/>
                <w:szCs w:val="22"/>
              </w:rPr>
              <w:t>Oxfordshire</w:t>
            </w:r>
          </w:p>
        </w:tc>
        <w:tc>
          <w:tcPr>
            <w:tcW w:w="1276" w:type="dxa"/>
            <w:tcBorders>
              <w:top w:val="single" w:sz="4" w:space="0" w:color="auto"/>
              <w:left w:val="single" w:sz="4" w:space="0" w:color="auto"/>
              <w:bottom w:val="single" w:sz="4" w:space="0" w:color="auto"/>
              <w:right w:val="single" w:sz="4" w:space="0" w:color="auto"/>
            </w:tcBorders>
            <w:shd w:val="clear" w:color="auto" w:fill="70AD47" w:themeFill="accent6"/>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Oxford</w:t>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Alcohol related mortality</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46.5</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41.1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48.6</w:t>
            </w:r>
            <w:r>
              <w:rPr>
                <w:color w:val="FFC000"/>
                <w:sz w:val="20"/>
                <w:szCs w:val="20"/>
              </w:rPr>
              <w:sym w:font="Wingdings" w:char="F06E"/>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 xml:space="preserve">Admission episodes for alcohol related conditions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2018-19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664</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526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640</w:t>
            </w:r>
            <w:r>
              <w:rPr>
                <w:color w:val="FFC000"/>
                <w:sz w:val="20"/>
                <w:szCs w:val="20"/>
              </w:rPr>
              <w:sym w:font="Wingdings" w:char="F06E"/>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 xml:space="preserve">Admission episodes for alcohol specific conditions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2018-9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626</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522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741</w:t>
            </w:r>
            <w:r>
              <w:rPr>
                <w:color w:val="FF0000"/>
                <w:sz w:val="20"/>
                <w:szCs w:val="20"/>
              </w:rPr>
              <w:sym w:font="Wingdings" w:char="F06E"/>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Admission episodes for alcohol specific conditions -Under 18s</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2016/17-18/19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31.6</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31.7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50.0</w:t>
            </w:r>
            <w:r>
              <w:rPr>
                <w:color w:val="FF0000"/>
                <w:sz w:val="20"/>
                <w:szCs w:val="20"/>
              </w:rPr>
              <w:sym w:font="Wingdings" w:char="F06E"/>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Hospital admissions of alcohol related cardiovascular disease (female)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2018/19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776</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613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791</w:t>
            </w:r>
            <w:r>
              <w:rPr>
                <w:color w:val="FFC000"/>
                <w:sz w:val="20"/>
                <w:szCs w:val="20"/>
              </w:rPr>
              <w:sym w:font="Wingdings" w:char="F06E"/>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Hospital admissions for mental and behavioural disorders due to alcohol</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2018/19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75.6</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52.2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97.9</w:t>
            </w:r>
            <w:r>
              <w:rPr>
                <w:color w:val="FF0000"/>
                <w:sz w:val="20"/>
                <w:szCs w:val="20"/>
              </w:rPr>
              <w:sym w:font="Wingdings" w:char="F06E"/>
            </w:r>
          </w:p>
        </w:tc>
      </w:tr>
      <w:tr w:rsidR="00AD40C4" w:rsidTr="00AD40C4">
        <w:tc>
          <w:tcPr>
            <w:tcW w:w="3397" w:type="dxa"/>
            <w:tcBorders>
              <w:top w:val="single" w:sz="4" w:space="0" w:color="auto"/>
              <w:left w:val="single" w:sz="4" w:space="0" w:color="auto"/>
              <w:bottom w:val="single" w:sz="4" w:space="0" w:color="auto"/>
              <w:right w:val="single" w:sz="4" w:space="0" w:color="auto"/>
            </w:tcBorders>
            <w:hideMark/>
          </w:tcPr>
          <w:p w:rsidR="00AD40C4" w:rsidRDefault="00AD40C4">
            <w:pPr>
              <w:rPr>
                <w:rFonts w:asciiTheme="minorHAnsi" w:hAnsiTheme="minorHAnsi" w:cstheme="minorHAnsi"/>
                <w:b/>
                <w:bCs/>
                <w:sz w:val="22"/>
                <w:szCs w:val="22"/>
              </w:rPr>
            </w:pPr>
            <w:r>
              <w:rPr>
                <w:rFonts w:asciiTheme="minorHAnsi" w:hAnsiTheme="minorHAnsi" w:cstheme="minorHAnsi"/>
                <w:b/>
                <w:bCs/>
                <w:sz w:val="22"/>
                <w:szCs w:val="22"/>
              </w:rPr>
              <w:t xml:space="preserve">Hospital admissions for alcoholic liver disease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2018/19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131.2</w:t>
            </w:r>
          </w:p>
        </w:tc>
        <w:tc>
          <w:tcPr>
            <w:tcW w:w="1577"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96.0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D40C4" w:rsidRDefault="00AD40C4">
            <w:pPr>
              <w:jc w:val="center"/>
              <w:rPr>
                <w:rFonts w:asciiTheme="minorHAnsi" w:hAnsiTheme="minorHAnsi" w:cstheme="minorHAnsi"/>
                <w:sz w:val="22"/>
                <w:szCs w:val="22"/>
              </w:rPr>
            </w:pPr>
            <w:r>
              <w:rPr>
                <w:rFonts w:asciiTheme="minorHAnsi" w:hAnsiTheme="minorHAnsi" w:cstheme="minorHAnsi"/>
                <w:sz w:val="22"/>
                <w:szCs w:val="22"/>
              </w:rPr>
              <w:t>138.4</w:t>
            </w:r>
            <w:r>
              <w:rPr>
                <w:color w:val="FFC000"/>
                <w:sz w:val="20"/>
                <w:szCs w:val="20"/>
              </w:rPr>
              <w:sym w:font="Wingdings" w:char="F06E"/>
            </w:r>
          </w:p>
        </w:tc>
      </w:tr>
    </w:tbl>
    <w:p w:rsidR="00AD40C4" w:rsidRDefault="00AD40C4" w:rsidP="00AD40C4">
      <w:pPr>
        <w:rPr>
          <w:rFonts w:ascii="Arial" w:hAnsi="Arial" w:cs="Arial"/>
          <w:sz w:val="20"/>
          <w:szCs w:val="20"/>
        </w:rPr>
      </w:pPr>
      <w:r>
        <w:rPr>
          <w:sz w:val="20"/>
          <w:szCs w:val="20"/>
        </w:rPr>
        <w:t>Source: PHE: Population Health Analysis (PHA) team using data from NHS Digital and ONS</w:t>
      </w:r>
    </w:p>
    <w:p w:rsidR="00AD40C4" w:rsidRPr="008C7CBD" w:rsidRDefault="00AD40C4" w:rsidP="00AD40C4">
      <w:pPr>
        <w:rPr>
          <w:rFonts w:ascii="Arial" w:hAnsi="Arial" w:cs="Arial"/>
        </w:rPr>
      </w:pPr>
    </w:p>
    <w:p w:rsidR="00AD40C4" w:rsidRPr="008C7CBD" w:rsidRDefault="00AD40C4" w:rsidP="00AD40C4">
      <w:pPr>
        <w:rPr>
          <w:rFonts w:ascii="Arial" w:hAnsi="Arial" w:cs="Arial"/>
        </w:rPr>
      </w:pPr>
      <w:r w:rsidRPr="008C7CBD">
        <w:rPr>
          <w:rFonts w:ascii="Arial" w:hAnsi="Arial" w:cs="Arial"/>
        </w:rPr>
        <w:t>The trend for hospital admissions for alcohol related conditions is increasing. There is also an increase in the trend for hospital admissions for alcohol related cardiovascular diseases.</w:t>
      </w:r>
    </w:p>
    <w:p w:rsidR="00AD40C4" w:rsidRPr="009B594A" w:rsidRDefault="00AD40C4" w:rsidP="00AD40C4">
      <w:pPr>
        <w:pStyle w:val="ListParagraph"/>
        <w:widowControl w:val="0"/>
        <w:spacing w:before="9" w:after="0" w:line="280" w:lineRule="exact"/>
        <w:ind w:left="993"/>
        <w:rPr>
          <w:rFonts w:ascii="Arial" w:hAnsi="Arial" w:cs="Arial"/>
          <w:b/>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B3153F" w:rsidRDefault="00B3153F" w:rsidP="00B3153F">
      <w:pPr>
        <w:spacing w:before="9" w:after="0" w:line="280" w:lineRule="exact"/>
        <w:rPr>
          <w:sz w:val="28"/>
          <w:szCs w:val="28"/>
        </w:rPr>
      </w:pPr>
    </w:p>
    <w:p w:rsidR="00DA6382" w:rsidRPr="00DA6382" w:rsidRDefault="00DA6382">
      <w:pPr>
        <w:rPr>
          <w:rFonts w:ascii="Arial" w:hAnsi="Arial" w:cs="Arial"/>
          <w:b/>
          <w:sz w:val="28"/>
          <w:szCs w:val="28"/>
        </w:rPr>
      </w:pPr>
    </w:p>
    <w:sectPr w:rsidR="00DA6382" w:rsidRPr="00DA6382">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7E" w:rsidRDefault="0018747E" w:rsidP="0018747E">
      <w:pPr>
        <w:spacing w:after="0" w:line="240" w:lineRule="auto"/>
      </w:pPr>
      <w:r>
        <w:separator/>
      </w:r>
    </w:p>
  </w:endnote>
  <w:endnote w:type="continuationSeparator" w:id="0">
    <w:p w:rsidR="0018747E" w:rsidRDefault="0018747E" w:rsidP="0018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09C" w:rsidRDefault="00BC40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09C" w:rsidRDefault="00BC40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09C" w:rsidRDefault="00BC40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7E" w:rsidRDefault="0018747E" w:rsidP="0018747E">
      <w:pPr>
        <w:spacing w:after="0" w:line="240" w:lineRule="auto"/>
      </w:pPr>
      <w:r>
        <w:separator/>
      </w:r>
    </w:p>
  </w:footnote>
  <w:footnote w:type="continuationSeparator" w:id="0">
    <w:p w:rsidR="0018747E" w:rsidRDefault="0018747E" w:rsidP="00187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09C" w:rsidRDefault="00BC40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989243"/>
      <w:docPartObj>
        <w:docPartGallery w:val="Watermarks"/>
        <w:docPartUnique/>
      </w:docPartObj>
    </w:sdtPr>
    <w:sdtEndPr/>
    <w:sdtContent>
      <w:p w:rsidR="00BC409C" w:rsidRDefault="0026302F">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09C" w:rsidRDefault="00BC40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3617"/>
    <w:multiLevelType w:val="hybridMultilevel"/>
    <w:tmpl w:val="35AC8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8476C"/>
    <w:multiLevelType w:val="hybridMultilevel"/>
    <w:tmpl w:val="7594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133EB"/>
    <w:multiLevelType w:val="hybridMultilevel"/>
    <w:tmpl w:val="E2F46F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C55830"/>
    <w:multiLevelType w:val="hybridMultilevel"/>
    <w:tmpl w:val="06565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FF6189"/>
    <w:multiLevelType w:val="multilevel"/>
    <w:tmpl w:val="829AB2EC"/>
    <w:lvl w:ilvl="0">
      <w:start w:val="1"/>
      <w:numFmt w:val="decimal"/>
      <w:lvlText w:val="%1."/>
      <w:lvlJc w:val="left"/>
      <w:pPr>
        <w:ind w:left="720" w:hanging="360"/>
      </w:pPr>
      <w:rPr>
        <w:rFonts w:hint="default"/>
        <w:b/>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944FB7"/>
    <w:multiLevelType w:val="hybridMultilevel"/>
    <w:tmpl w:val="E74E5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9A1D43"/>
    <w:multiLevelType w:val="hybridMultilevel"/>
    <w:tmpl w:val="79A65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B7360"/>
    <w:multiLevelType w:val="hybridMultilevel"/>
    <w:tmpl w:val="12000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8866EFA"/>
    <w:multiLevelType w:val="hybridMultilevel"/>
    <w:tmpl w:val="CD9434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7AF187A"/>
    <w:multiLevelType w:val="hybridMultilevel"/>
    <w:tmpl w:val="BA82C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8130C9D"/>
    <w:multiLevelType w:val="hybridMultilevel"/>
    <w:tmpl w:val="2812C35E"/>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1" w15:restartNumberingAfterBreak="0">
    <w:nsid w:val="61815803"/>
    <w:multiLevelType w:val="hybridMultilevel"/>
    <w:tmpl w:val="729C5958"/>
    <w:lvl w:ilvl="0" w:tplc="08090001">
      <w:start w:val="1"/>
      <w:numFmt w:val="bullet"/>
      <w:lvlText w:val=""/>
      <w:lvlJc w:val="left"/>
      <w:pPr>
        <w:ind w:left="1460" w:hanging="360"/>
      </w:pPr>
      <w:rPr>
        <w:rFonts w:ascii="Symbol" w:hAnsi="Symbol"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12" w15:restartNumberingAfterBreak="0">
    <w:nsid w:val="69775222"/>
    <w:multiLevelType w:val="hybridMultilevel"/>
    <w:tmpl w:val="026A1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1"/>
  </w:num>
  <w:num w:numId="3">
    <w:abstractNumId w:val="9"/>
  </w:num>
  <w:num w:numId="4">
    <w:abstractNumId w:val="0"/>
  </w:num>
  <w:num w:numId="5">
    <w:abstractNumId w:val="12"/>
  </w:num>
  <w:num w:numId="6">
    <w:abstractNumId w:val="7"/>
  </w:num>
  <w:num w:numId="7">
    <w:abstractNumId w:val="1"/>
  </w:num>
  <w:num w:numId="8">
    <w:abstractNumId w:val="8"/>
  </w:num>
  <w:num w:numId="9">
    <w:abstractNumId w:val="6"/>
  </w:num>
  <w:num w:numId="10">
    <w:abstractNumId w:val="5"/>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B1E"/>
    <w:rsid w:val="0000361C"/>
    <w:rsid w:val="00052011"/>
    <w:rsid w:val="001362BC"/>
    <w:rsid w:val="001834BD"/>
    <w:rsid w:val="0018747E"/>
    <w:rsid w:val="00220BA6"/>
    <w:rsid w:val="00232B46"/>
    <w:rsid w:val="0026302F"/>
    <w:rsid w:val="002C5453"/>
    <w:rsid w:val="002E1FAD"/>
    <w:rsid w:val="003350D8"/>
    <w:rsid w:val="003E4ED0"/>
    <w:rsid w:val="004872A1"/>
    <w:rsid w:val="004D2B43"/>
    <w:rsid w:val="00525B62"/>
    <w:rsid w:val="0058021B"/>
    <w:rsid w:val="006E1F5B"/>
    <w:rsid w:val="00774A92"/>
    <w:rsid w:val="007A4CD7"/>
    <w:rsid w:val="007D3768"/>
    <w:rsid w:val="007E2B1E"/>
    <w:rsid w:val="008A7901"/>
    <w:rsid w:val="008C7CBD"/>
    <w:rsid w:val="008F0041"/>
    <w:rsid w:val="00933AD3"/>
    <w:rsid w:val="00947852"/>
    <w:rsid w:val="00974D4A"/>
    <w:rsid w:val="009B594A"/>
    <w:rsid w:val="009D39D8"/>
    <w:rsid w:val="009E7254"/>
    <w:rsid w:val="009F4B6E"/>
    <w:rsid w:val="00AD40C4"/>
    <w:rsid w:val="00AF0D84"/>
    <w:rsid w:val="00B3153F"/>
    <w:rsid w:val="00B438D7"/>
    <w:rsid w:val="00BC409C"/>
    <w:rsid w:val="00BC7D54"/>
    <w:rsid w:val="00BE1DDA"/>
    <w:rsid w:val="00D108A3"/>
    <w:rsid w:val="00D46F0E"/>
    <w:rsid w:val="00DA6382"/>
    <w:rsid w:val="00DE4131"/>
    <w:rsid w:val="00E01ABF"/>
    <w:rsid w:val="00E63783"/>
    <w:rsid w:val="00E90263"/>
    <w:rsid w:val="00F26012"/>
    <w:rsid w:val="00F83E57"/>
    <w:rsid w:val="00FA0A28"/>
    <w:rsid w:val="00FE7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512EC96-0A52-4B1C-B0AE-B6CBA783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47E"/>
  </w:style>
  <w:style w:type="paragraph" w:styleId="Footer">
    <w:name w:val="footer"/>
    <w:basedOn w:val="Normal"/>
    <w:link w:val="FooterChar"/>
    <w:uiPriority w:val="99"/>
    <w:unhideWhenUsed/>
    <w:rsid w:val="00187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47E"/>
  </w:style>
  <w:style w:type="paragraph" w:customStyle="1" w:styleId="Default">
    <w:name w:val="Default"/>
    <w:rsid w:val="002C545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32B46"/>
    <w:pPr>
      <w:ind w:left="720"/>
      <w:contextualSpacing/>
    </w:pPr>
  </w:style>
  <w:style w:type="table" w:styleId="TableGrid">
    <w:name w:val="Table Grid"/>
    <w:basedOn w:val="TableNormal"/>
    <w:uiPriority w:val="59"/>
    <w:rsid w:val="00AD40C4"/>
    <w:pPr>
      <w:spacing w:after="0" w:line="240" w:lineRule="auto"/>
    </w:pPr>
    <w:rPr>
      <w:rFonts w:ascii="Arial" w:hAnsi="Arial"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0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occ.local\data\Environmental-Development\EH\Environmental%20Protection\GENERAL%20LICENSING%20TEAM\LICENSING%20ACT%202003%20FOLDER\STATEMENT%20OF%20LICENSING%20POLICY\POLICY%202021\Data%20and%20Analysis\CCTV%20Incidents%20by%20Hour%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CCTV Incidents</a:t>
            </a:r>
            <a:r>
              <a:rPr lang="en-US" baseline="0"/>
              <a:t> by hour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Sheet1!$N$3</c:f>
              <c:strCache>
                <c:ptCount val="1"/>
                <c:pt idx="0">
                  <c:v>2019</c:v>
                </c:pt>
              </c:strCache>
            </c:strRef>
          </c:tx>
          <c:spPr>
            <a:solidFill>
              <a:schemeClr val="accent1"/>
            </a:solidFill>
            <a:ln>
              <a:noFill/>
            </a:ln>
            <a:effectLst/>
          </c:spPr>
          <c:invertIfNegative val="0"/>
          <c:cat>
            <c:strRef>
              <c:f>Sheet1!$A$4:$A$13</c:f>
              <c:strCache>
                <c:ptCount val="10"/>
                <c:pt idx="0">
                  <c:v>20:00-21:00</c:v>
                </c:pt>
                <c:pt idx="1">
                  <c:v>21:00-22:00</c:v>
                </c:pt>
                <c:pt idx="2">
                  <c:v>22:00-23:00</c:v>
                </c:pt>
                <c:pt idx="3">
                  <c:v>23:00-00:00</c:v>
                </c:pt>
                <c:pt idx="4">
                  <c:v>00:00-01:00</c:v>
                </c:pt>
                <c:pt idx="5">
                  <c:v>01:00-02:00</c:v>
                </c:pt>
                <c:pt idx="6">
                  <c:v>02:00-03:00</c:v>
                </c:pt>
                <c:pt idx="7">
                  <c:v>03:00-04:00</c:v>
                </c:pt>
                <c:pt idx="8">
                  <c:v>04:00-05:00</c:v>
                </c:pt>
                <c:pt idx="9">
                  <c:v>05:00-06:00</c:v>
                </c:pt>
              </c:strCache>
            </c:strRef>
          </c:cat>
          <c:val>
            <c:numRef>
              <c:f>Sheet1!$N$4:$N$13</c:f>
              <c:numCache>
                <c:formatCode>General</c:formatCode>
                <c:ptCount val="10"/>
                <c:pt idx="0">
                  <c:v>433</c:v>
                </c:pt>
                <c:pt idx="1">
                  <c:v>441</c:v>
                </c:pt>
                <c:pt idx="2">
                  <c:v>451</c:v>
                </c:pt>
                <c:pt idx="3">
                  <c:v>543</c:v>
                </c:pt>
                <c:pt idx="4">
                  <c:v>574</c:v>
                </c:pt>
                <c:pt idx="5">
                  <c:v>620</c:v>
                </c:pt>
                <c:pt idx="6">
                  <c:v>595</c:v>
                </c:pt>
                <c:pt idx="7">
                  <c:v>500</c:v>
                </c:pt>
                <c:pt idx="8">
                  <c:v>138</c:v>
                </c:pt>
                <c:pt idx="9">
                  <c:v>19</c:v>
                </c:pt>
              </c:numCache>
            </c:numRef>
          </c:val>
        </c:ser>
        <c:ser>
          <c:idx val="1"/>
          <c:order val="1"/>
          <c:tx>
            <c:strRef>
              <c:f>Sheet1!$O$3</c:f>
              <c:strCache>
                <c:ptCount val="1"/>
                <c:pt idx="0">
                  <c:v>2020</c:v>
                </c:pt>
              </c:strCache>
            </c:strRef>
          </c:tx>
          <c:spPr>
            <a:solidFill>
              <a:schemeClr val="accent2"/>
            </a:solidFill>
            <a:ln>
              <a:noFill/>
            </a:ln>
            <a:effectLst/>
          </c:spPr>
          <c:invertIfNegative val="0"/>
          <c:cat>
            <c:strRef>
              <c:f>Sheet1!$A$4:$A$13</c:f>
              <c:strCache>
                <c:ptCount val="10"/>
                <c:pt idx="0">
                  <c:v>20:00-21:00</c:v>
                </c:pt>
                <c:pt idx="1">
                  <c:v>21:00-22:00</c:v>
                </c:pt>
                <c:pt idx="2">
                  <c:v>22:00-23:00</c:v>
                </c:pt>
                <c:pt idx="3">
                  <c:v>23:00-00:00</c:v>
                </c:pt>
                <c:pt idx="4">
                  <c:v>00:00-01:00</c:v>
                </c:pt>
                <c:pt idx="5">
                  <c:v>01:00-02:00</c:v>
                </c:pt>
                <c:pt idx="6">
                  <c:v>02:00-03:00</c:v>
                </c:pt>
                <c:pt idx="7">
                  <c:v>03:00-04:00</c:v>
                </c:pt>
                <c:pt idx="8">
                  <c:v>04:00-05:00</c:v>
                </c:pt>
                <c:pt idx="9">
                  <c:v>05:00-06:00</c:v>
                </c:pt>
              </c:strCache>
            </c:strRef>
          </c:cat>
          <c:val>
            <c:numRef>
              <c:f>Sheet1!$O$4:$O$13</c:f>
              <c:numCache>
                <c:formatCode>General</c:formatCode>
                <c:ptCount val="10"/>
                <c:pt idx="0">
                  <c:v>307</c:v>
                </c:pt>
                <c:pt idx="1">
                  <c:v>305</c:v>
                </c:pt>
                <c:pt idx="2">
                  <c:v>388</c:v>
                </c:pt>
                <c:pt idx="3">
                  <c:v>324</c:v>
                </c:pt>
                <c:pt idx="4">
                  <c:v>378</c:v>
                </c:pt>
                <c:pt idx="5">
                  <c:v>312</c:v>
                </c:pt>
                <c:pt idx="6">
                  <c:v>237</c:v>
                </c:pt>
                <c:pt idx="7">
                  <c:v>113</c:v>
                </c:pt>
                <c:pt idx="8">
                  <c:v>23</c:v>
                </c:pt>
                <c:pt idx="9">
                  <c:v>4</c:v>
                </c:pt>
              </c:numCache>
            </c:numRef>
          </c:val>
        </c:ser>
        <c:dLbls>
          <c:showLegendKey val="0"/>
          <c:showVal val="0"/>
          <c:showCatName val="0"/>
          <c:showSerName val="0"/>
          <c:showPercent val="0"/>
          <c:showBubbleSize val="0"/>
        </c:dLbls>
        <c:gapWidth val="75"/>
        <c:overlap val="-25"/>
        <c:axId val="541472848"/>
        <c:axId val="541473240"/>
      </c:barChart>
      <c:catAx>
        <c:axId val="54147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73240"/>
        <c:crosses val="autoZero"/>
        <c:auto val="1"/>
        <c:lblAlgn val="ctr"/>
        <c:lblOffset val="100"/>
        <c:noMultiLvlLbl val="0"/>
      </c:catAx>
      <c:valAx>
        <c:axId val="54147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72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2530</Words>
  <Characters>14425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MASTERS Richard</dc:creator>
  <cp:keywords/>
  <dc:description/>
  <cp:lastModifiedBy>MASTERS Richard</cp:lastModifiedBy>
  <cp:revision>3</cp:revision>
  <dcterms:created xsi:type="dcterms:W3CDTF">2022-03-07T13:10:00Z</dcterms:created>
  <dcterms:modified xsi:type="dcterms:W3CDTF">2022-03-07T13:11:00Z</dcterms:modified>
</cp:coreProperties>
</file>